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20" w:lineRule="exact"/>
        <w:ind w:firstLine="280"/>
        <w:rPr>
          <w:rStyle w:val="8"/>
          <w:rFonts w:hint="eastAsia" w:eastAsia="黑体"/>
          <w:szCs w:val="32"/>
          <w:lang w:val="en-US" w:eastAsia="zh-CN"/>
        </w:rPr>
      </w:pPr>
      <w:r>
        <w:rPr>
          <w:rStyle w:val="8"/>
          <w:rFonts w:eastAsia="黑体"/>
          <w:szCs w:val="32"/>
        </w:rPr>
        <w:t>附件</w:t>
      </w:r>
      <w:r>
        <w:rPr>
          <w:rStyle w:val="8"/>
          <w:rFonts w:hint="eastAsia" w:eastAsia="黑体"/>
          <w:szCs w:val="32"/>
          <w:lang w:val="en-US" w:eastAsia="zh-CN"/>
        </w:rPr>
        <w:t>11</w:t>
      </w:r>
    </w:p>
    <w:p>
      <w:pPr>
        <w:pStyle w:val="2"/>
        <w:spacing w:line="420" w:lineRule="exact"/>
        <w:ind w:firstLine="280"/>
        <w:rPr>
          <w:rStyle w:val="8"/>
          <w:rFonts w:hint="default" w:eastAsia="黑体"/>
          <w:szCs w:val="32"/>
          <w:lang w:val="en-US" w:eastAsia="zh-CN"/>
        </w:rPr>
      </w:pPr>
    </w:p>
    <w:p>
      <w:pPr>
        <w:spacing w:line="420" w:lineRule="exact"/>
        <w:jc w:val="center"/>
        <w:rPr>
          <w:rFonts w:ascii="方正小标宋_GBK" w:eastAsia="方正小标宋_GBK"/>
          <w:sz w:val="44"/>
          <w:szCs w:val="44"/>
        </w:rPr>
      </w:pPr>
      <w:r>
        <w:rPr>
          <w:rFonts w:hint="eastAsia" w:ascii="方正小标宋_GBK" w:eastAsia="方正小标宋_GBK"/>
          <w:sz w:val="44"/>
          <w:szCs w:val="44"/>
        </w:rPr>
        <w:t>2022年度科技创新基地（平台）和人才计划</w:t>
      </w:r>
    </w:p>
    <w:p>
      <w:pPr>
        <w:spacing w:line="420" w:lineRule="exact"/>
        <w:jc w:val="center"/>
        <w:rPr>
          <w:rFonts w:hint="eastAsia" w:ascii="方正小标宋_GBK" w:eastAsia="方正小标宋_GBK"/>
          <w:sz w:val="44"/>
          <w:szCs w:val="44"/>
        </w:rPr>
      </w:pPr>
      <w:r>
        <w:rPr>
          <w:rFonts w:hint="eastAsia" w:ascii="方正小标宋_GBK" w:eastAsia="方正小标宋_GBK"/>
          <w:sz w:val="44"/>
          <w:szCs w:val="44"/>
        </w:rPr>
        <w:t>项目申报指南</w:t>
      </w:r>
    </w:p>
    <w:p>
      <w:pPr>
        <w:pStyle w:val="2"/>
      </w:pPr>
    </w:p>
    <w:p>
      <w:pPr>
        <w:spacing w:line="420" w:lineRule="exact"/>
        <w:ind w:firstLine="560" w:firstLineChars="200"/>
        <w:rPr>
          <w:rFonts w:eastAsia="方正小标宋_GBK"/>
          <w:color w:val="000000"/>
          <w:sz w:val="28"/>
          <w:szCs w:val="28"/>
        </w:rPr>
      </w:pPr>
      <w:r>
        <w:rPr>
          <w:rFonts w:hint="eastAsia" w:eastAsia="方正小标宋_GBK"/>
          <w:sz w:val="28"/>
          <w:szCs w:val="28"/>
          <w:lang w:val="en-US" w:eastAsia="zh-CN"/>
        </w:rPr>
        <w:t>十一</w:t>
      </w:r>
      <w:r>
        <w:rPr>
          <w:rFonts w:eastAsia="方正小标宋_GBK"/>
          <w:sz w:val="28"/>
          <w:szCs w:val="28"/>
        </w:rPr>
        <w:t>、</w:t>
      </w:r>
      <w:r>
        <w:rPr>
          <w:rFonts w:eastAsia="方正小标宋_GBK"/>
          <w:color w:val="000000"/>
          <w:sz w:val="28"/>
          <w:szCs w:val="28"/>
        </w:rPr>
        <w:t>国（境）外高端人才引进项目申报指南</w:t>
      </w:r>
    </w:p>
    <w:p>
      <w:pPr>
        <w:spacing w:line="420" w:lineRule="exact"/>
        <w:jc w:val="left"/>
        <w:rPr>
          <w:rFonts w:eastAsia="楷体_GB2312"/>
          <w:sz w:val="28"/>
          <w:szCs w:val="28"/>
        </w:rPr>
      </w:pPr>
      <w:r>
        <w:rPr>
          <w:rFonts w:eastAsia="楷体_GB2312"/>
          <w:color w:val="000000"/>
          <w:sz w:val="28"/>
          <w:szCs w:val="28"/>
        </w:rPr>
        <w:t xml:space="preserve">    </w:t>
      </w:r>
      <w:r>
        <w:rPr>
          <w:rFonts w:eastAsia="楷体_GB2312"/>
          <w:sz w:val="28"/>
          <w:szCs w:val="28"/>
        </w:rPr>
        <w:t>(该指南在线填写“四川省国（境）外高端人才引进项目申报书”。</w:t>
      </w:r>
    </w:p>
    <w:p>
      <w:pPr>
        <w:spacing w:line="420" w:lineRule="exact"/>
        <w:jc w:val="left"/>
        <w:rPr>
          <w:rFonts w:eastAsia="楷体_GB2312"/>
          <w:sz w:val="28"/>
          <w:szCs w:val="28"/>
        </w:rPr>
      </w:pPr>
      <w:r>
        <w:rPr>
          <w:rFonts w:eastAsia="楷体_GB2312"/>
          <w:sz w:val="28"/>
          <w:szCs w:val="28"/>
        </w:rPr>
        <w:t>指南咨询：李庆洪 028-86720583)</w:t>
      </w:r>
    </w:p>
    <w:p>
      <w:pPr>
        <w:spacing w:line="420" w:lineRule="exact"/>
        <w:ind w:firstLine="560" w:firstLineChars="200"/>
        <w:jc w:val="left"/>
        <w:rPr>
          <w:rFonts w:eastAsia="黑体"/>
          <w:color w:val="000000"/>
          <w:sz w:val="28"/>
          <w:szCs w:val="28"/>
        </w:rPr>
      </w:pPr>
    </w:p>
    <w:p>
      <w:pPr>
        <w:suppressAutoHyphens/>
        <w:adjustRightInd w:val="0"/>
        <w:spacing w:line="420" w:lineRule="exact"/>
        <w:ind w:firstLine="560" w:firstLineChars="200"/>
        <w:rPr>
          <w:rFonts w:eastAsia="黑体"/>
          <w:color w:val="000000"/>
          <w:sz w:val="28"/>
          <w:szCs w:val="28"/>
        </w:rPr>
      </w:pPr>
      <w:r>
        <w:rPr>
          <w:rFonts w:eastAsia="黑体"/>
          <w:color w:val="000000"/>
          <w:sz w:val="28"/>
          <w:szCs w:val="28"/>
        </w:rPr>
        <w:t>总体绩效目标：</w:t>
      </w:r>
      <w:r>
        <w:rPr>
          <w:rFonts w:eastAsia="仿宋_GB2312"/>
          <w:color w:val="000000"/>
          <w:sz w:val="28"/>
          <w:szCs w:val="28"/>
        </w:rPr>
        <w:t>柔性引进一批急需紧缺的战略科学家、科技领军人才、高级管理人才、金融人才、紧缺专业人才和高水平创新团队，为我省科技创新和产业发展提供外</w:t>
      </w:r>
      <w:bookmarkStart w:id="0" w:name="_GoBack"/>
      <w:bookmarkEnd w:id="0"/>
      <w:r>
        <w:rPr>
          <w:rFonts w:eastAsia="仿宋_GB2312"/>
          <w:color w:val="000000"/>
          <w:sz w:val="28"/>
          <w:szCs w:val="28"/>
        </w:rPr>
        <w:t>智助力。</w:t>
      </w:r>
    </w:p>
    <w:p>
      <w:pPr>
        <w:suppressAutoHyphens/>
        <w:adjustRightInd w:val="0"/>
        <w:spacing w:line="420" w:lineRule="exact"/>
        <w:ind w:firstLine="560" w:firstLineChars="200"/>
        <w:rPr>
          <w:rFonts w:eastAsia="黑体"/>
          <w:color w:val="000000"/>
          <w:sz w:val="28"/>
          <w:szCs w:val="28"/>
        </w:rPr>
      </w:pPr>
      <w:r>
        <w:rPr>
          <w:rFonts w:eastAsia="黑体"/>
          <w:color w:val="000000"/>
          <w:sz w:val="28"/>
          <w:szCs w:val="28"/>
        </w:rPr>
        <w:t>资金支持方式和支持经费：</w:t>
      </w:r>
    </w:p>
    <w:p>
      <w:pPr>
        <w:suppressAutoHyphens/>
        <w:adjustRightInd w:val="0"/>
        <w:spacing w:line="420" w:lineRule="exact"/>
        <w:ind w:firstLine="560" w:firstLineChars="200"/>
        <w:rPr>
          <w:rFonts w:eastAsia="黑体"/>
          <w:color w:val="000000"/>
          <w:sz w:val="28"/>
          <w:szCs w:val="28"/>
        </w:rPr>
      </w:pPr>
      <w:r>
        <w:rPr>
          <w:rFonts w:eastAsia="仿宋_GB2312"/>
          <w:color w:val="000000"/>
          <w:sz w:val="28"/>
          <w:szCs w:val="28"/>
        </w:rPr>
        <w:t>专项资金采取前补助支持方式。常规项目支持经费不超过30万元</w:t>
      </w:r>
      <w:r>
        <w:rPr>
          <w:rFonts w:eastAsia="仿宋_GB2312"/>
          <w:color w:val="000000"/>
          <w:sz w:val="28"/>
          <w:szCs w:val="28"/>
          <w:lang w:val="en"/>
        </w:rPr>
        <w:t>/个</w:t>
      </w:r>
      <w:r>
        <w:rPr>
          <w:rFonts w:eastAsia="仿宋_GB2312"/>
          <w:color w:val="000000"/>
          <w:sz w:val="28"/>
          <w:szCs w:val="28"/>
        </w:rPr>
        <w:t>，高层次创新团队项目支持经费不超过80万元</w:t>
      </w:r>
      <w:r>
        <w:rPr>
          <w:rFonts w:eastAsia="仿宋_GB2312"/>
          <w:color w:val="000000"/>
          <w:sz w:val="28"/>
          <w:szCs w:val="28"/>
          <w:lang w:val="en"/>
        </w:rPr>
        <w:t>/个</w:t>
      </w:r>
      <w:r>
        <w:rPr>
          <w:rFonts w:eastAsia="仿宋_GB2312"/>
          <w:color w:val="000000"/>
          <w:sz w:val="28"/>
          <w:szCs w:val="28"/>
        </w:rPr>
        <w:t>。</w:t>
      </w:r>
    </w:p>
    <w:p>
      <w:pPr>
        <w:suppressAutoHyphens/>
        <w:adjustRightInd w:val="0"/>
        <w:spacing w:line="420" w:lineRule="exact"/>
        <w:ind w:firstLine="560" w:firstLineChars="200"/>
        <w:rPr>
          <w:rFonts w:eastAsia="黑体"/>
          <w:color w:val="000000"/>
          <w:sz w:val="28"/>
          <w:szCs w:val="28"/>
        </w:rPr>
      </w:pPr>
      <w:r>
        <w:rPr>
          <w:rFonts w:eastAsia="黑体"/>
          <w:color w:val="000000"/>
          <w:sz w:val="28"/>
          <w:szCs w:val="28"/>
        </w:rPr>
        <w:t>实施周期：</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项目执行期1年，起止时间2022年1月－2022年12月。</w:t>
      </w:r>
    </w:p>
    <w:p>
      <w:pPr>
        <w:suppressAutoHyphens/>
        <w:adjustRightInd w:val="0"/>
        <w:spacing w:line="420" w:lineRule="exact"/>
        <w:ind w:firstLine="560" w:firstLineChars="200"/>
        <w:rPr>
          <w:rFonts w:eastAsia="黑体"/>
          <w:color w:val="000000"/>
          <w:sz w:val="28"/>
          <w:szCs w:val="28"/>
        </w:rPr>
      </w:pPr>
      <w:r>
        <w:rPr>
          <w:rFonts w:eastAsia="黑体"/>
          <w:color w:val="000000"/>
          <w:sz w:val="28"/>
          <w:szCs w:val="28"/>
        </w:rPr>
        <w:t>支持方向和重点：</w:t>
      </w:r>
    </w:p>
    <w:p>
      <w:pPr>
        <w:suppressAutoHyphens/>
        <w:spacing w:line="420" w:lineRule="exact"/>
        <w:ind w:firstLine="560" w:firstLineChars="200"/>
        <w:jc w:val="left"/>
        <w:rPr>
          <w:rFonts w:eastAsia="仿宋_GB2312"/>
          <w:color w:val="000000"/>
          <w:sz w:val="28"/>
          <w:szCs w:val="28"/>
        </w:rPr>
      </w:pPr>
      <w:r>
        <w:rPr>
          <w:rFonts w:eastAsia="楷体"/>
          <w:color w:val="000000"/>
          <w:sz w:val="28"/>
          <w:szCs w:val="28"/>
        </w:rPr>
        <w:t>（一）</w:t>
      </w:r>
      <w:r>
        <w:rPr>
          <w:rFonts w:eastAsia="楷体_GB2312"/>
          <w:color w:val="000000"/>
          <w:sz w:val="28"/>
          <w:szCs w:val="28"/>
        </w:rPr>
        <w:t>现代产业体系重点领域</w:t>
      </w:r>
      <w:r>
        <w:rPr>
          <w:rFonts w:eastAsia="楷体"/>
          <w:color w:val="000000"/>
          <w:sz w:val="28"/>
          <w:szCs w:val="28"/>
        </w:rPr>
        <w:t>。</w:t>
      </w:r>
      <w:r>
        <w:rPr>
          <w:rFonts w:eastAsia="仿宋_GB2312"/>
          <w:color w:val="000000"/>
          <w:sz w:val="28"/>
          <w:szCs w:val="28"/>
        </w:rPr>
        <w:t>围绕</w:t>
      </w:r>
      <w:r>
        <w:rPr>
          <w:rFonts w:eastAsia="楷体_GB2312"/>
          <w:color w:val="000000"/>
          <w:sz w:val="28"/>
          <w:szCs w:val="28"/>
        </w:rPr>
        <w:t>“5+1”，</w:t>
      </w:r>
      <w:r>
        <w:rPr>
          <w:rFonts w:eastAsia="仿宋_GB2312"/>
          <w:color w:val="000000"/>
          <w:sz w:val="28"/>
          <w:szCs w:val="28"/>
        </w:rPr>
        <w:t>重点支持集成电路与新型显示、新一代网络技术、软件与信息服务、航空与燃机、智能装备、农产品精深加工、医药健康、新材料、清洁能源、绿色化工、节能环保（灾害防治和生态修复、碳中和技术）等领域，引进国（境）外高层次专家和创新团队，以及具有跨国经营、跨文化管理能力的国（境）外企业家和战略规划人才。</w:t>
      </w:r>
    </w:p>
    <w:p>
      <w:pPr>
        <w:suppressAutoHyphens/>
        <w:spacing w:line="420" w:lineRule="exact"/>
        <w:ind w:firstLine="560" w:firstLineChars="200"/>
        <w:jc w:val="left"/>
        <w:rPr>
          <w:rFonts w:eastAsia="仿宋_GB2312"/>
          <w:color w:val="000000"/>
          <w:sz w:val="28"/>
          <w:szCs w:val="28"/>
        </w:rPr>
      </w:pPr>
      <w:r>
        <w:rPr>
          <w:rFonts w:eastAsia="楷体"/>
          <w:color w:val="000000"/>
          <w:sz w:val="28"/>
          <w:szCs w:val="28"/>
        </w:rPr>
        <w:t>（二）</w:t>
      </w:r>
      <w:r>
        <w:rPr>
          <w:rFonts w:eastAsia="楷体_GB2312"/>
          <w:color w:val="000000"/>
          <w:sz w:val="28"/>
          <w:szCs w:val="28"/>
        </w:rPr>
        <w:t>农业产业体系重点领域</w:t>
      </w:r>
      <w:r>
        <w:rPr>
          <w:rFonts w:eastAsia="楷体"/>
          <w:color w:val="000000"/>
          <w:sz w:val="28"/>
          <w:szCs w:val="28"/>
        </w:rPr>
        <w:t>。</w:t>
      </w:r>
      <w:r>
        <w:rPr>
          <w:rFonts w:eastAsia="仿宋_GB2312"/>
          <w:color w:val="000000"/>
          <w:sz w:val="28"/>
          <w:szCs w:val="28"/>
        </w:rPr>
        <w:t>围绕</w:t>
      </w:r>
      <w:r>
        <w:rPr>
          <w:rFonts w:eastAsia="楷体_GB2312"/>
          <w:color w:val="000000"/>
          <w:sz w:val="28"/>
          <w:szCs w:val="28"/>
        </w:rPr>
        <w:t>“10+3”，</w:t>
      </w:r>
      <w:r>
        <w:rPr>
          <w:rFonts w:eastAsia="仿宋_GB2312"/>
          <w:color w:val="000000"/>
          <w:sz w:val="28"/>
          <w:szCs w:val="28"/>
        </w:rPr>
        <w:t>重点支持川粮油、川猪、川茶、川菜（椒）、川酒、川果（桑）、川药、川牛羊（饲草畜禽）和现代农业种业等产业领域，引进国（境）外农业技术专家和创新团队，以及生产经营管理人才。</w:t>
      </w:r>
    </w:p>
    <w:p>
      <w:pPr>
        <w:suppressAutoHyphens/>
        <w:spacing w:line="420" w:lineRule="exact"/>
        <w:ind w:firstLine="560" w:firstLineChars="200"/>
        <w:jc w:val="left"/>
        <w:rPr>
          <w:rFonts w:eastAsia="仿宋_GB2312"/>
          <w:color w:val="000000"/>
          <w:sz w:val="28"/>
          <w:szCs w:val="28"/>
        </w:rPr>
      </w:pPr>
      <w:r>
        <w:rPr>
          <w:rFonts w:eastAsia="楷体"/>
          <w:color w:val="000000"/>
          <w:sz w:val="28"/>
          <w:szCs w:val="28"/>
        </w:rPr>
        <w:t>（三）现代服务业体系重点领域。</w:t>
      </w:r>
      <w:r>
        <w:rPr>
          <w:rFonts w:eastAsia="仿宋_GB2312"/>
          <w:color w:val="000000"/>
          <w:sz w:val="28"/>
          <w:szCs w:val="28"/>
        </w:rPr>
        <w:t>围绕</w:t>
      </w:r>
      <w:r>
        <w:rPr>
          <w:rFonts w:eastAsia="楷体_GB2312"/>
          <w:color w:val="000000"/>
          <w:sz w:val="28"/>
          <w:szCs w:val="28"/>
        </w:rPr>
        <w:t>“4+6”，</w:t>
      </w:r>
      <w:r>
        <w:rPr>
          <w:rFonts w:eastAsia="仿宋_GB2312"/>
          <w:color w:val="000000"/>
          <w:sz w:val="28"/>
          <w:szCs w:val="28"/>
        </w:rPr>
        <w:t>重点支持金融服务、文体旅游、科技信息服务、医疗康养服务等领域，引进具有较高学术造诣、实践经验丰富的国（境）外专家和创新团队。</w:t>
      </w:r>
    </w:p>
    <w:p>
      <w:pPr>
        <w:suppressAutoHyphens/>
        <w:adjustRightInd w:val="0"/>
        <w:spacing w:line="420" w:lineRule="exact"/>
        <w:ind w:firstLine="560" w:firstLineChars="200"/>
        <w:rPr>
          <w:rFonts w:eastAsia="黑体"/>
          <w:color w:val="000000"/>
          <w:sz w:val="28"/>
          <w:szCs w:val="28"/>
        </w:rPr>
      </w:pPr>
      <w:r>
        <w:rPr>
          <w:rFonts w:eastAsia="黑体"/>
          <w:color w:val="000000"/>
          <w:sz w:val="28"/>
          <w:szCs w:val="28"/>
        </w:rPr>
        <w:t>有关要求及注意事项：</w:t>
      </w:r>
    </w:p>
    <w:p>
      <w:pPr>
        <w:suppressAutoHyphens/>
        <w:spacing w:line="420" w:lineRule="exact"/>
        <w:ind w:firstLine="640"/>
        <w:rPr>
          <w:rFonts w:eastAsia="楷体"/>
          <w:color w:val="000000"/>
          <w:sz w:val="28"/>
          <w:szCs w:val="28"/>
        </w:rPr>
      </w:pPr>
      <w:r>
        <w:rPr>
          <w:rFonts w:eastAsia="楷体"/>
          <w:color w:val="000000"/>
          <w:sz w:val="28"/>
          <w:szCs w:val="28"/>
        </w:rPr>
        <w:t>（一）项目负责人要求。</w:t>
      </w:r>
    </w:p>
    <w:p>
      <w:pPr>
        <w:suppressAutoHyphens/>
        <w:spacing w:line="420" w:lineRule="exact"/>
        <w:ind w:firstLine="640"/>
        <w:rPr>
          <w:rFonts w:eastAsia="黑体"/>
          <w:color w:val="000000"/>
          <w:sz w:val="28"/>
          <w:szCs w:val="28"/>
        </w:rPr>
      </w:pPr>
      <w:r>
        <w:rPr>
          <w:rFonts w:eastAsia="仿宋_GB2312"/>
          <w:color w:val="000000"/>
          <w:sz w:val="28"/>
          <w:szCs w:val="28"/>
        </w:rPr>
        <w:t>项目负责人应符合“四川省科技计划项目负责人条件要求”，用人单位长期聘用的高端国（境）外人才也可作为项目负责人申报项目。</w:t>
      </w:r>
      <w:r>
        <w:rPr>
          <w:rFonts w:eastAsia="仿宋_GB2312"/>
          <w:b/>
          <w:color w:val="000000"/>
          <w:sz w:val="28"/>
          <w:szCs w:val="28"/>
        </w:rPr>
        <w:t>国（境）外高端人才引进项目不受四川省科技计划项目重复申报限制，</w:t>
      </w:r>
      <w:r>
        <w:rPr>
          <w:rFonts w:eastAsia="仿宋_GB2312"/>
          <w:color w:val="000000"/>
          <w:sz w:val="28"/>
          <w:szCs w:val="28"/>
        </w:rPr>
        <w:t>项目负责人在承担省科技计划项目的同时，可承担省国（境）外高端人才引进项目。</w:t>
      </w:r>
    </w:p>
    <w:p>
      <w:pPr>
        <w:suppressAutoHyphens/>
        <w:spacing w:line="420" w:lineRule="exact"/>
        <w:ind w:firstLine="560" w:firstLineChars="200"/>
        <w:jc w:val="left"/>
        <w:rPr>
          <w:rFonts w:eastAsia="楷体"/>
          <w:color w:val="000000"/>
          <w:sz w:val="28"/>
          <w:szCs w:val="28"/>
        </w:rPr>
      </w:pPr>
      <w:r>
        <w:rPr>
          <w:rFonts w:eastAsia="楷体"/>
          <w:color w:val="000000"/>
          <w:sz w:val="28"/>
          <w:szCs w:val="28"/>
        </w:rPr>
        <w:t>（二）申报单位要求。</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1.牵头申报单位须是依法在四川境内设立，具有独立法人资格并建立财务规章制度的企业、科研院所和高校等企事业单位。</w:t>
      </w:r>
    </w:p>
    <w:p>
      <w:pPr>
        <w:suppressAutoHyphens/>
        <w:spacing w:line="420" w:lineRule="exact"/>
        <w:ind w:firstLine="560" w:firstLineChars="200"/>
        <w:jc w:val="left"/>
        <w:rPr>
          <w:rFonts w:eastAsia="仿宋_GB2312"/>
          <w:b/>
          <w:bCs/>
          <w:color w:val="000000"/>
          <w:sz w:val="28"/>
          <w:szCs w:val="28"/>
        </w:rPr>
      </w:pPr>
      <w:r>
        <w:rPr>
          <w:rFonts w:eastAsia="仿宋_GB2312"/>
          <w:color w:val="000000"/>
          <w:sz w:val="28"/>
          <w:szCs w:val="28"/>
        </w:rPr>
        <w:t>2.应以工作内容（研究方向或技术目标）为基础申报项目，围绕同一工作内容聘请多位外国专家的，应按照一个项目申报。原则上同一独立法人单位申报不超过2项</w:t>
      </w:r>
      <w:r>
        <w:rPr>
          <w:rFonts w:eastAsia="仿宋_GB2312"/>
          <w:color w:val="000000"/>
          <w:sz w:val="28"/>
          <w:szCs w:val="28"/>
          <w:lang w:val="en"/>
        </w:rPr>
        <w:t>,</w:t>
      </w:r>
      <w:r>
        <w:rPr>
          <w:rFonts w:eastAsia="仿宋_GB2312"/>
          <w:b/>
          <w:bCs/>
          <w:color w:val="000000"/>
          <w:sz w:val="28"/>
          <w:szCs w:val="28"/>
          <w:lang w:val="en"/>
        </w:rPr>
        <w:t>有延期执行国（境）外高端人才引进项目的需在项目申报截止日期前完成总结核销后方可申请</w:t>
      </w:r>
      <w:r>
        <w:rPr>
          <w:rFonts w:eastAsia="仿宋_GB2312"/>
          <w:b/>
          <w:bCs/>
          <w:color w:val="000000"/>
          <w:sz w:val="28"/>
          <w:szCs w:val="28"/>
        </w:rPr>
        <w:t>2022年度项目计划。</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3.申请专家工薪的，应提供专家与单位签署的工薪合同、协议或其他相关文件扫描件，并将原件留存备查。</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4.应依法依规开展外国专家引进工作，严格遵守在知识产权、同业禁止、聘用及薪酬等方面的法律规定，按照国际惯例与通行做法，推进互利共赢合作。</w:t>
      </w:r>
    </w:p>
    <w:p>
      <w:pPr>
        <w:suppressAutoHyphens/>
        <w:spacing w:line="420" w:lineRule="exact"/>
        <w:ind w:firstLine="560" w:firstLineChars="200"/>
        <w:jc w:val="left"/>
        <w:rPr>
          <w:rFonts w:eastAsia="仿宋_GB2312"/>
          <w:b/>
          <w:color w:val="000000"/>
          <w:sz w:val="28"/>
          <w:szCs w:val="28"/>
        </w:rPr>
      </w:pPr>
      <w:r>
        <w:rPr>
          <w:rFonts w:eastAsia="仿宋_GB2312"/>
          <w:bCs/>
          <w:color w:val="000000"/>
          <w:sz w:val="28"/>
          <w:szCs w:val="28"/>
        </w:rPr>
        <w:t>5、鼓励申报单位全职引进国（境）外高层次创新团队，开展关键核心技术攻关。</w:t>
      </w:r>
      <w:r>
        <w:rPr>
          <w:rFonts w:eastAsia="仿宋_GB2312"/>
          <w:b/>
          <w:color w:val="000000"/>
          <w:sz w:val="28"/>
          <w:szCs w:val="28"/>
        </w:rPr>
        <w:t>对此类申报项目，同等条件下给予优先支持。</w:t>
      </w:r>
    </w:p>
    <w:p>
      <w:pPr>
        <w:suppressAutoHyphens/>
        <w:spacing w:line="420" w:lineRule="exact"/>
        <w:ind w:firstLine="560" w:firstLineChars="200"/>
        <w:jc w:val="left"/>
        <w:rPr>
          <w:rFonts w:eastAsia="仿宋_GB2312"/>
          <w:b/>
          <w:color w:val="000000"/>
          <w:sz w:val="28"/>
          <w:szCs w:val="28"/>
        </w:rPr>
      </w:pPr>
      <w:r>
        <w:rPr>
          <w:rFonts w:eastAsia="仿宋_GB2312"/>
          <w:bCs/>
          <w:color w:val="000000"/>
          <w:sz w:val="28"/>
          <w:szCs w:val="28"/>
        </w:rPr>
        <w:t>6.鼓励申报单位联合重庆相关单位申报项目，推动与重庆实现国（境）外人才智力共引共用。</w:t>
      </w:r>
      <w:r>
        <w:rPr>
          <w:rFonts w:eastAsia="仿宋_GB2312"/>
          <w:b/>
          <w:color w:val="000000"/>
          <w:sz w:val="28"/>
          <w:szCs w:val="28"/>
        </w:rPr>
        <w:t>对此类联合申报项目，将适当给予政策倾斜。</w:t>
      </w:r>
    </w:p>
    <w:p>
      <w:pPr>
        <w:suppressAutoHyphens/>
        <w:spacing w:line="420" w:lineRule="exact"/>
        <w:ind w:firstLine="560" w:firstLineChars="200"/>
        <w:jc w:val="left"/>
        <w:rPr>
          <w:rFonts w:eastAsia="楷体"/>
          <w:color w:val="000000"/>
          <w:sz w:val="28"/>
          <w:szCs w:val="28"/>
        </w:rPr>
      </w:pPr>
      <w:r>
        <w:rPr>
          <w:rFonts w:eastAsia="楷体"/>
          <w:color w:val="000000"/>
          <w:sz w:val="28"/>
          <w:szCs w:val="28"/>
        </w:rPr>
        <w:t>（三）引进国（境）外人才要求。</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 xml:space="preserve">1.引进的专家须为外籍和港、澳、台人才，原则上年龄不超过70周岁，且符合下列条件之一： </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lang w:val="en"/>
        </w:rPr>
        <w:t>（</w:t>
      </w:r>
      <w:r>
        <w:rPr>
          <w:rFonts w:eastAsia="仿宋_GB2312"/>
          <w:color w:val="000000"/>
          <w:sz w:val="28"/>
          <w:szCs w:val="28"/>
        </w:rPr>
        <w:t>1</w:t>
      </w:r>
      <w:r>
        <w:rPr>
          <w:rFonts w:eastAsia="仿宋_GB2312"/>
          <w:color w:val="000000"/>
          <w:sz w:val="28"/>
          <w:szCs w:val="28"/>
          <w:lang w:val="en"/>
        </w:rPr>
        <w:t>）</w:t>
      </w:r>
      <w:r>
        <w:rPr>
          <w:rFonts w:eastAsia="仿宋_GB2312"/>
          <w:color w:val="000000"/>
          <w:sz w:val="28"/>
          <w:szCs w:val="28"/>
        </w:rPr>
        <w:t>具有国际领先水平的战略性、领军型人才；</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lang w:val="en"/>
        </w:rPr>
        <w:t>（</w:t>
      </w:r>
      <w:r>
        <w:rPr>
          <w:rFonts w:eastAsia="仿宋_GB2312"/>
          <w:color w:val="000000"/>
          <w:sz w:val="28"/>
          <w:szCs w:val="28"/>
        </w:rPr>
        <w:t>2</w:t>
      </w:r>
      <w:r>
        <w:rPr>
          <w:rFonts w:eastAsia="仿宋_GB2312"/>
          <w:color w:val="000000"/>
          <w:sz w:val="28"/>
          <w:szCs w:val="28"/>
          <w:lang w:val="en"/>
        </w:rPr>
        <w:t>）</w:t>
      </w:r>
      <w:r>
        <w:rPr>
          <w:rFonts w:eastAsia="仿宋_GB2312"/>
          <w:color w:val="000000"/>
          <w:sz w:val="28"/>
          <w:szCs w:val="28"/>
        </w:rPr>
        <w:t>引领国际科学发展趋势的战略科学家，从事基础研究、应用基础研究，或从事科学前沿探索和交叉研究、具有创新潜质的优秀科学家，或开展重大产业技术研究的科学家；</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lang w:val="en"/>
        </w:rPr>
        <w:t>（</w:t>
      </w:r>
      <w:r>
        <w:rPr>
          <w:rFonts w:eastAsia="仿宋_GB2312"/>
          <w:color w:val="000000"/>
          <w:sz w:val="28"/>
          <w:szCs w:val="28"/>
        </w:rPr>
        <w:t>3</w:t>
      </w:r>
      <w:r>
        <w:rPr>
          <w:rFonts w:eastAsia="仿宋_GB2312"/>
          <w:color w:val="000000"/>
          <w:sz w:val="28"/>
          <w:szCs w:val="28"/>
          <w:lang w:val="en"/>
        </w:rPr>
        <w:t>）</w:t>
      </w:r>
      <w:r>
        <w:rPr>
          <w:rFonts w:eastAsia="仿宋_GB2312"/>
          <w:color w:val="000000"/>
          <w:sz w:val="28"/>
          <w:szCs w:val="28"/>
        </w:rPr>
        <w:t>在国（境）外高校、科研院所担任相当副教授及以上职务，且具有引进领域世界先进水平成果的专家学者；</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lang w:val="en"/>
        </w:rPr>
        <w:t>（</w:t>
      </w:r>
      <w:r>
        <w:rPr>
          <w:rFonts w:eastAsia="仿宋_GB2312"/>
          <w:color w:val="000000"/>
          <w:sz w:val="28"/>
          <w:szCs w:val="28"/>
        </w:rPr>
        <w:t>4</w:t>
      </w:r>
      <w:r>
        <w:rPr>
          <w:rFonts w:eastAsia="仿宋_GB2312"/>
          <w:color w:val="000000"/>
          <w:sz w:val="28"/>
          <w:szCs w:val="28"/>
          <w:lang w:val="en"/>
        </w:rPr>
        <w:t>）</w:t>
      </w:r>
      <w:r>
        <w:rPr>
          <w:rFonts w:eastAsia="仿宋_GB2312"/>
          <w:color w:val="000000"/>
          <w:sz w:val="28"/>
          <w:szCs w:val="28"/>
        </w:rPr>
        <w:t>具有国（境）外同行业企业工作经验，具有推动重大技术革新能力的科技领军人才，或担任高级职务的专业技术人才、经营管理人才，具备解决项目问题的能力；</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（5）拥有自主知识产权或掌握核心技术的创新、创业人才；</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（6）其他急需紧缺的高端国（境）外专家或高技能人才。</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2.引进人才符合外国人来华工作分类标准中国际公认的专业成就认定标准的，可适当放宽年龄限制。</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3.不求所在、但求所用，新冠肺炎疫情期间鼓励通过远程视频或在国（境）外建立研发机构、创新创业基地吸引使用当地高层次人才等多种合作方式开展引进国（境）外人才智力工作，为我省经济社会发展服务。</w:t>
      </w:r>
    </w:p>
    <w:p>
      <w:pPr>
        <w:suppressAutoHyphens/>
        <w:spacing w:line="420" w:lineRule="exact"/>
        <w:ind w:firstLine="560" w:firstLineChars="200"/>
        <w:jc w:val="left"/>
        <w:rPr>
          <w:rFonts w:eastAsia="楷体_GB2312"/>
          <w:color w:val="000000"/>
          <w:sz w:val="28"/>
          <w:szCs w:val="28"/>
        </w:rPr>
      </w:pPr>
      <w:r>
        <w:rPr>
          <w:rFonts w:eastAsia="楷体_GB2312"/>
          <w:color w:val="000000"/>
          <w:sz w:val="28"/>
          <w:szCs w:val="28"/>
        </w:rPr>
        <w:t>（四）注意事项。</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1.该项目经费属于引进人才专项项目，需严格按照申报书中提示标准申请并使用相关费用，其中国际旅费、生活费、城市间交通费等可以调剂使用；可申请不超过合同约定金额的60%的工薪资助，剩余部分由用人单位配套支持，同一专家零用费与工薪不能同时申请。</w:t>
      </w:r>
    </w:p>
    <w:p>
      <w:pPr>
        <w:suppressAutoHyphens/>
        <w:spacing w:line="420" w:lineRule="exact"/>
        <w:ind w:firstLine="560" w:firstLineChars="200"/>
        <w:jc w:val="left"/>
        <w:rPr>
          <w:rFonts w:eastAsia="仿宋_GB2312"/>
          <w:color w:val="000000"/>
          <w:sz w:val="28"/>
          <w:szCs w:val="28"/>
        </w:rPr>
      </w:pPr>
      <w:r>
        <w:rPr>
          <w:rFonts w:eastAsia="仿宋_GB2312"/>
          <w:color w:val="000000"/>
          <w:sz w:val="28"/>
          <w:szCs w:val="28"/>
        </w:rPr>
        <w:t>2.该项目获批立项后无需签订任务合同书，项目执行完毕后需按要求提交项目总结核销材料。</w:t>
      </w:r>
    </w:p>
    <w:p>
      <w:pPr>
        <w:suppressAutoHyphens/>
        <w:spacing w:line="420" w:lineRule="exact"/>
        <w:ind w:firstLine="560" w:firstLineChars="200"/>
        <w:rPr>
          <w:rStyle w:val="8"/>
          <w:rFonts w:ascii="Times New Roman" w:hAnsi="Times New Roman" w:eastAsia="黑体"/>
          <w:sz w:val="28"/>
          <w:szCs w:val="28"/>
        </w:rPr>
        <w:sectPr>
          <w:pgSz w:w="11906" w:h="16838"/>
          <w:pgMar w:top="2098" w:right="1474" w:bottom="1985" w:left="1588" w:header="851" w:footer="992" w:gutter="0"/>
          <w:cols w:space="720" w:num="1"/>
          <w:docGrid w:type="linesAndChars" w:linePitch="312" w:charSpace="0"/>
        </w:sectPr>
      </w:pPr>
      <w:r>
        <w:rPr>
          <w:rFonts w:eastAsia="仿宋_GB2312"/>
          <w:color w:val="000000"/>
          <w:sz w:val="28"/>
          <w:szCs w:val="28"/>
        </w:rPr>
        <w:t>3.所有支撑材料原件扫描后作为附件在四川省科技管理信息系统在线上传。</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98287"/>
    </w:sdtPr>
    <w:sdtEndPr>
      <w:rPr>
        <w:sz w:val="28"/>
        <w:szCs w:val="28"/>
      </w:rPr>
    </w:sdtEndPr>
    <w:sdtContent>
      <w:p>
        <w:pPr>
          <w:pStyle w:val="5"/>
          <w:jc w:val="right"/>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r>
          <w:rPr>
            <w:sz w:val="28"/>
            <w:szCs w:val="28"/>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snapToGrid w:val="0"/>
      <w:jc w:val="center"/>
      <w:rPr>
        <w:rFonts w:ascii="Calibri" w:hAnsi="Calibri"/>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B6300"/>
    <w:rsid w:val="563B6300"/>
    <w:rsid w:val="5B3C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99"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next w:val="4"/>
    <w:semiHidden/>
    <w:unhideWhenUsed/>
    <w:qFormat/>
    <w:uiPriority w:val="99"/>
    <w:pPr>
      <w:spacing w:after="120"/>
    </w:pPr>
  </w:style>
  <w:style w:type="paragraph" w:customStyle="1" w:styleId="4">
    <w:name w:val="Default"/>
    <w:basedOn w:val="1"/>
    <w:qFormat/>
    <w:uiPriority w:val="99"/>
    <w:pPr>
      <w:autoSpaceDE w:val="0"/>
      <w:autoSpaceDN w:val="0"/>
      <w:adjustRightInd w:val="0"/>
      <w:jc w:val="left"/>
    </w:pPr>
    <w:rPr>
      <w:rFonts w:ascii="仿宋_GB2312" w:hAnsi="Calibri" w:eastAsia="仿宋_GB2312"/>
      <w:color w:val="000000"/>
      <w:kern w:val="0"/>
      <w:sz w:val="24"/>
      <w:szCs w:val="24"/>
    </w:rPr>
  </w:style>
  <w:style w:type="paragraph" w:styleId="5">
    <w:name w:val="footer"/>
    <w:basedOn w:val="1"/>
    <w:qFormat/>
    <w:uiPriority w:val="99"/>
    <w:pPr>
      <w:tabs>
        <w:tab w:val="center" w:pos="4153"/>
        <w:tab w:val="right" w:pos="8306"/>
      </w:tabs>
      <w:snapToGrid w:val="0"/>
      <w:jc w:val="left"/>
    </w:pPr>
    <w:rPr>
      <w:sz w:val="18"/>
    </w:rPr>
  </w:style>
  <w:style w:type="character" w:styleId="8">
    <w:name w:val="Emphasis"/>
    <w:basedOn w:val="7"/>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2021-07-19T01:03:00Z</dcterms:created>
  <dc:creator>:-)</dc:creator>
  <cp:lastModifiedBy>:-)</cp:lastModifiedBy>
  <dcterms:modified xsi:type="dcterms:W3CDTF">2021-07-19T01:09:08Z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A65015C054FB4346A4BC350EA99FF9FA</vt:lpwstr>
  </property>
  <property fmtid="{D5CDD505-2E9C-101B-9397-08002B2CF9AE}" pid="4" name="KSOSaveFontToCloudKey">
    <vt:lpwstr>312302008_btnclosed</vt:lpwstr>
  </property>
</Properties>
</file>