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s="Times New Roman"/>
          <w:b/>
          <w:sz w:val="44"/>
          <w:szCs w:val="44"/>
        </w:rPr>
      </w:pPr>
      <w:bookmarkStart w:id="0" w:name="_Toc1046"/>
      <w:bookmarkStart w:id="1" w:name="_Toc29060"/>
      <w:bookmarkStart w:id="2" w:name="_Toc7318"/>
      <w:r>
        <w:rPr>
          <w:rFonts w:hint="eastAsia" w:ascii="华文中宋" w:hAnsi="华文中宋" w:eastAsia="华文中宋" w:cs="Times New Roman"/>
          <w:b/>
          <w:sz w:val="44"/>
          <w:szCs w:val="44"/>
        </w:rPr>
        <w:t>中国人类遗传资源材料出境</w:t>
      </w:r>
      <w:bookmarkEnd w:id="0"/>
      <w:bookmarkEnd w:id="1"/>
      <w:bookmarkEnd w:id="2"/>
      <w:r>
        <w:rPr>
          <w:rFonts w:hint="eastAsia" w:ascii="华文中宋" w:hAnsi="华文中宋" w:eastAsia="华文中宋" w:cs="Times New Roman"/>
          <w:b/>
          <w:sz w:val="44"/>
          <w:szCs w:val="44"/>
        </w:rPr>
        <w:t>行政许可</w:t>
      </w:r>
      <w:bookmarkStart w:id="3" w:name="_Toc27948"/>
      <w:bookmarkStart w:id="4" w:name="_Toc31601"/>
      <w:bookmarkStart w:id="5" w:name="_Toc2331"/>
    </w:p>
    <w:p>
      <w:pPr>
        <w:spacing w:line="360" w:lineRule="auto"/>
        <w:jc w:val="center"/>
        <w:rPr>
          <w:rFonts w:ascii="华文中宋" w:hAnsi="华文中宋" w:eastAsia="华文中宋" w:cs="Times New Roman"/>
          <w:b/>
          <w:sz w:val="44"/>
          <w:szCs w:val="44"/>
        </w:rPr>
      </w:pPr>
      <w:r>
        <w:rPr>
          <w:rFonts w:hint="eastAsia" w:ascii="华文中宋" w:hAnsi="华文中宋" w:eastAsia="华文中宋" w:cs="Times New Roman"/>
          <w:b/>
          <w:sz w:val="44"/>
          <w:szCs w:val="44"/>
        </w:rPr>
        <w:t>事项服务指南</w:t>
      </w:r>
      <w:bookmarkEnd w:id="3"/>
      <w:bookmarkEnd w:id="4"/>
      <w:bookmarkEnd w:id="5"/>
    </w:p>
    <w:p>
      <w:pPr>
        <w:spacing w:line="360" w:lineRule="auto"/>
        <w:rPr>
          <w:rFonts w:ascii="Times New Roman" w:hAnsi="Times New Roman" w:cs="Times New Roman"/>
        </w:rPr>
      </w:pP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一、适用范围</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本许可适用于对利用我国人类遗传资源开展国际科学研究合作，或者因其他特殊情况确需将我国人类遗传资源材料运送、邮寄、携带出境的规范和管理。</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人类遗传资源材料包括所有类型细胞、全血、组织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组织切片、</w:t>
      </w:r>
      <w:bookmarkStart w:id="6" w:name="_GoBack"/>
      <w:bookmarkEnd w:id="6"/>
      <w:r>
        <w:rPr>
          <w:rFonts w:hint="eastAsia" w:ascii="Times New Roman" w:hAnsi="Times New Roman" w:eastAsia="仿宋_GB2312" w:cs="Times New Roman"/>
          <w:sz w:val="32"/>
          <w:szCs w:val="32"/>
        </w:rPr>
        <w:t>精液、脑脊液、胸</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腹腔积液、血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骨髓涂片、毛发</w:t>
      </w:r>
      <w:r>
        <w:rPr>
          <w:rFonts w:hint="eastAsia" w:ascii="Times New Roman" w:hAnsi="Times New Roman" w:eastAsia="仿宋_GB2312" w:cs="Times New Roman"/>
          <w:sz w:val="32"/>
          <w:szCs w:val="32"/>
          <w:lang w:eastAsia="zh-CN"/>
        </w:rPr>
        <w:t>（带毛囊）</w:t>
      </w:r>
      <w:r>
        <w:rPr>
          <w:rFonts w:hint="eastAsia" w:ascii="Times New Roman" w:hAnsi="Times New Roman" w:eastAsia="仿宋_GB2312" w:cs="Times New Roman"/>
          <w:sz w:val="32"/>
          <w:szCs w:val="32"/>
        </w:rPr>
        <w:t>等，其他不含细胞的人体分泌物、体液、拭子等无需申报。</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为临床诊疗、采供血服务、查处违法犯罪、兴奋剂检测和殡葬等活动需要，对外提供我国人类遗传资源材料的，依照相关法律、行政法规规定执行，不在本许可的适用范围内。</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二、事项信息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（一）事项名称：中国人类遗传资源材料出境审批。</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（二）审批类别：行政许可。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（三）事项编号：</w:t>
      </w:r>
      <w:r>
        <w:rPr>
          <w:rFonts w:ascii="Times New Roman" w:hAnsi="Times New Roman" w:eastAsia="仿宋_GB2312" w:cs="Times New Roman"/>
          <w:sz w:val="32"/>
          <w:szCs w:val="32"/>
        </w:rPr>
        <w:t>000106104000</w:t>
      </w:r>
      <w:r>
        <w:rPr>
          <w:rFonts w:hint="eastAsia" w:ascii="Times New Roman" w:hAnsi="Times New Roman" w:eastAsia="仿宋_GB2312" w:cs="Times New Roman"/>
          <w:sz w:val="32"/>
          <w:szCs w:val="32"/>
        </w:rPr>
        <w:t>。</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三、办理依据</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《中华人民共和国人类遗传资源管理条例》国令第</w:t>
      </w:r>
      <w:r>
        <w:rPr>
          <w:rFonts w:ascii="Times New Roman" w:hAnsi="Times New Roman" w:eastAsia="仿宋_GB2312" w:cs="Times New Roman"/>
          <w:sz w:val="32"/>
          <w:szCs w:val="32"/>
        </w:rPr>
        <w:t>717</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2019</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月）。</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《人类遗传资源管理条例实施细则》科学技术部令第</w:t>
      </w:r>
      <w:r>
        <w:rPr>
          <w:rFonts w:ascii="Times New Roman" w:hAnsi="Times New Roman" w:eastAsia="仿宋_GB2312" w:cs="Times New Roman"/>
          <w:sz w:val="32"/>
          <w:szCs w:val="32"/>
        </w:rPr>
        <w:t>21</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2023</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月）。</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《中华人民共和国行政许可法》主席令第</w:t>
      </w: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2003</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月）。</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四、受理机构</w:t>
      </w:r>
    </w:p>
    <w:p>
      <w:pPr>
        <w:pStyle w:val="12"/>
        <w:spacing w:line="360" w:lineRule="auto"/>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五、决定机构</w:t>
      </w:r>
    </w:p>
    <w:p>
      <w:pPr>
        <w:pStyle w:val="12"/>
        <w:spacing w:line="360" w:lineRule="auto"/>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六、数量限制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无数量限制</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七、办事要求</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（一）申请人条件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具有法人资格的中方单位。</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（二）审批条件</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申请将中国人类遗传资源材料运送、邮寄、携带出境应具备或符合如下条件：</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）对我国公众健康、国家安全和社会公共利益没有危害；</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）具有法人资格；</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）有明确的境外合作方和合理的出境用途；</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）人类遗传资源材料采集合法或者来自合法的保藏单位；</w:t>
      </w:r>
    </w:p>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）通过伦理审查；</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禁止性要求：申请将中国人类遗传资源材料运送、邮寄、携带出境，不符合上述条件的，不予批准。</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（三）办理事项类型</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新建</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利用我国人类遗传资源开展国际科学研究合作，需要将我国人类遗传资源材料运送、邮寄、携带出境的，可以单独提出申请，也可以在开展国际合作科学研究申请中列明出境计划一并提出申请，由科技部合并审批。</w:t>
      </w:r>
    </w:p>
    <w:p>
      <w:pPr>
        <w:pStyle w:val="12"/>
        <w:widowControl/>
        <w:spacing w:line="360" w:lineRule="auto"/>
        <w:ind w:left="60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将我国人类遗传资源材料运送、邮寄、携带出境的，凭</w:t>
      </w:r>
    </w:p>
    <w:p>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人类遗传资源材料出境证明办理海关手续。</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延续</w:t>
      </w:r>
    </w:p>
    <w:p>
      <w:pPr>
        <w:spacing w:line="360" w:lineRule="auto"/>
        <w:ind w:firstLine="640" w:firstLineChars="200"/>
        <w:jc w:val="left"/>
        <w:rPr>
          <w:rFonts w:ascii="Times New Roman" w:hAnsi="Times New Roman" w:eastAsia="仿宋_GB2312" w:cs="Times New Roman"/>
          <w:sz w:val="30"/>
          <w:szCs w:val="30"/>
        </w:rPr>
      </w:pPr>
      <w:r>
        <w:rPr>
          <w:rFonts w:hint="eastAsia" w:ascii="Times New Roman" w:hAnsi="Times New Roman" w:eastAsia="仿宋_GB2312" w:cs="Times New Roman"/>
          <w:sz w:val="32"/>
          <w:szCs w:val="32"/>
        </w:rPr>
        <w:t>被许可人需要延续行政许可有效期的，应当在该行政许可有效期限届满三十个工作日前向科技部提出申请。科技部应当根据被许可人的申请，在该行政许可有效期限届满前作出是否准予延续的决定；逾期未作出决定的，视为准予延续。</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撤销</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有下列情形之一的，科技部根据利害关系人请求或者依据职权，可以撤销人类遗传资源行政许可：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）滥用职权、玩忽职守作出准予行政许可决定的</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）超越法定职权作出准予行政许可决定的</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）违反法定程序作出准予行政许可决定的</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）对不具备申请资格或者不符合法定条件的申请人准予行政许可的</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）依法可以撤销行政许可的其他情形。</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被许可人以欺骗、贿赂等不正当手段取得行政许可的，科技部应当予以撤销。</w:t>
      </w:r>
    </w:p>
    <w:p>
      <w:pPr>
        <w:numPr>
          <w:ilvl w:val="255"/>
          <w:numId w:val="0"/>
        </w:numPr>
        <w:ind w:firstLine="640" w:firstLineChars="200"/>
        <w:rPr>
          <w:rFonts w:ascii="Times New Roman" w:hAnsi="Times New Roman" w:cs="Times New Roman"/>
          <w:bCs/>
          <w:sz w:val="30"/>
          <w:szCs w:val="30"/>
        </w:rPr>
      </w:pPr>
      <w:r>
        <w:rPr>
          <w:rFonts w:hint="eastAsia" w:ascii="Times New Roman" w:hAnsi="Times New Roman" w:eastAsia="仿宋_GB2312" w:cs="Times New Roman"/>
          <w:sz w:val="32"/>
          <w:szCs w:val="32"/>
        </w:rPr>
        <w:t>依照前两款的规定撤销行政许可，可能对公共利益造成重大损害的，不予撤销。</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（四）办理流程</w:t>
      </w:r>
    </w:p>
    <w:p>
      <w:pPr>
        <w:widowControl/>
        <w:ind w:firstLine="640"/>
        <w:jc w:val="left"/>
        <w:rPr>
          <w:rFonts w:ascii="Times New Roman" w:hAnsi="Times New Roman" w:cs="Times New Roman"/>
          <w:bCs/>
          <w:sz w:val="32"/>
          <w:szCs w:val="30"/>
        </w:rPr>
      </w:pPr>
      <w:r>
        <w:drawing>
          <wp:inline distT="0" distB="0" distL="0" distR="0">
            <wp:extent cx="4988560" cy="4448175"/>
            <wp:effectExtent l="0" t="0" r="2540" b="9525"/>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5" cstate="print">
                      <a:extLst>
                        <a:ext uri="{28A0092B-C50C-407E-A947-70E740481C1C}">
                          <a14:useLocalDpi xmlns:a14="http://schemas.microsoft.com/office/drawing/2010/main" val="false"/>
                        </a:ext>
                      </a:extLst>
                    </a:blip>
                    <a:srcRect/>
                    <a:stretch>
                      <a:fillRect/>
                    </a:stretch>
                  </pic:blipFill>
                  <pic:spPr>
                    <a:xfrm>
                      <a:off x="0" y="0"/>
                      <a:ext cx="4988560" cy="4448175"/>
                    </a:xfrm>
                    <a:prstGeom prst="rect">
                      <a:avLst/>
                    </a:prstGeom>
                    <a:noFill/>
                  </pic:spPr>
                </pic:pic>
              </a:graphicData>
            </a:graphic>
          </wp:inline>
        </w:drawing>
      </w:r>
    </w:p>
    <w:p>
      <w:pPr>
        <w:spacing w:line="360" w:lineRule="auto"/>
        <w:ind w:firstLine="640" w:firstLineChars="200"/>
        <w:rPr>
          <w:rFonts w:ascii="Times New Roman" w:hAnsi="Times New Roman" w:eastAsia="仿宋_GB2312" w:cs="Times New Roman"/>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仿宋_GB2312" w:cs="Times New Roman"/>
          <w:sz w:val="32"/>
          <w:szCs w:val="32"/>
        </w:rPr>
        <w:t>注：行政许可决定作出前，申请人书面撤回申请的，科技部终止对行政许可申请的审查。</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八、在线申请材料</w:t>
      </w:r>
    </w:p>
    <w:tbl>
      <w:tblPr>
        <w:tblStyle w:val="8"/>
        <w:tblW w:w="9157" w:type="dxa"/>
        <w:tblInd w:w="-1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8"/>
        <w:gridCol w:w="2268"/>
        <w:gridCol w:w="6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atLeast"/>
        </w:trPr>
        <w:tc>
          <w:tcPr>
            <w:tcW w:w="83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序号</w:t>
            </w:r>
          </w:p>
        </w:tc>
        <w:tc>
          <w:tcPr>
            <w:tcW w:w="226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提交电子材料名称</w:t>
            </w:r>
          </w:p>
        </w:tc>
        <w:tc>
          <w:tcPr>
            <w:tcW w:w="6051"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trPr>
        <w:tc>
          <w:tcPr>
            <w:tcW w:w="83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26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申请书</w:t>
            </w:r>
          </w:p>
        </w:tc>
        <w:tc>
          <w:tcPr>
            <w:tcW w:w="6051"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网上平台填写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83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26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法人资格材料</w:t>
            </w:r>
          </w:p>
        </w:tc>
        <w:tc>
          <w:tcPr>
            <w:tcW w:w="6051" w:type="dxa"/>
            <w:noWrap/>
            <w:vAlign w:val="center"/>
          </w:tcPr>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法人资格材料如企业法人营业执照或事业单位法人证书或民办非企业单位登记证书等材料</w:t>
            </w:r>
          </w:p>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3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26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伦理审查批件</w:t>
            </w:r>
          </w:p>
        </w:tc>
        <w:tc>
          <w:tcPr>
            <w:tcW w:w="6051" w:type="dxa"/>
            <w:noWrap/>
            <w:vAlign w:val="center"/>
          </w:tcPr>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伦理审查批件应包含审查意见、审查材料清单、签字盖章页、伦理委员会成员签到表等内容。审查材料如涉及版本号和版本日期应注明</w:t>
            </w:r>
          </w:p>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3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2268" w:type="dxa"/>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研究方案</w:t>
            </w:r>
          </w:p>
        </w:tc>
        <w:tc>
          <w:tcPr>
            <w:tcW w:w="6051" w:type="dxa"/>
            <w:noWrap/>
            <w:vAlign w:val="center"/>
          </w:tcPr>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研究方案应包含样本处置全流程情况</w:t>
            </w:r>
          </w:p>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3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226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知情同意书</w:t>
            </w:r>
          </w:p>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（签字版）</w:t>
            </w:r>
          </w:p>
        </w:tc>
        <w:tc>
          <w:tcPr>
            <w:tcW w:w="6051" w:type="dxa"/>
            <w:shd w:val="clear" w:color="auto" w:fill="auto"/>
            <w:noWrap/>
            <w:vAlign w:val="center"/>
          </w:tcPr>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上传签字版知情同意书（知情同意书应明确告知该样本用于出境），上传份数应与出境材料的例数保持一致</w:t>
            </w:r>
          </w:p>
          <w:p>
            <w:pPr>
              <w:spacing w:line="40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atLeast"/>
        </w:trPr>
        <w:tc>
          <w:tcPr>
            <w:tcW w:w="83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226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剩余人类遗传资源材料处理方式协议</w:t>
            </w:r>
          </w:p>
        </w:tc>
        <w:tc>
          <w:tcPr>
            <w:tcW w:w="6051"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如涉及，请提供</w:t>
            </w:r>
            <w:r>
              <w:rPr>
                <w:rFonts w:hint="eastAsia" w:ascii="Times New Roman" w:hAnsi="Times New Roman" w:eastAsia="仿宋_GB2312" w:cs="Times New Roman"/>
                <w:sz w:val="24"/>
                <w:szCs w:val="24"/>
              </w:rPr>
              <w:t>签字盖章的协议</w:t>
            </w:r>
          </w:p>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atLeast"/>
        </w:trPr>
        <w:tc>
          <w:tcPr>
            <w:tcW w:w="83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226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拟出境人类遗传资源材料合法来源证明材料</w:t>
            </w:r>
          </w:p>
        </w:tc>
        <w:tc>
          <w:tcPr>
            <w:tcW w:w="6051"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如涉及，请提供</w:t>
            </w:r>
          </w:p>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atLeast"/>
        </w:trPr>
        <w:tc>
          <w:tcPr>
            <w:tcW w:w="83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8</w:t>
            </w:r>
          </w:p>
        </w:tc>
        <w:tc>
          <w:tcPr>
            <w:tcW w:w="2268"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其他证明材料</w:t>
            </w:r>
          </w:p>
        </w:tc>
        <w:tc>
          <w:tcPr>
            <w:tcW w:w="6051" w:type="dxa"/>
            <w:shd w:val="clear" w:color="auto" w:fill="auto"/>
            <w:noWrap/>
            <w:vAlign w:val="center"/>
          </w:tcPr>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如涉及，请提供</w:t>
            </w:r>
          </w:p>
          <w:p>
            <w:pPr>
              <w:pStyle w:val="12"/>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bl>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九、申请接收</w:t>
      </w:r>
    </w:p>
    <w:p>
      <w:pPr>
        <w:pStyle w:val="12"/>
        <w:spacing w:line="360" w:lineRule="auto"/>
        <w:ind w:firstLine="64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电子申请材料通过网上平台接收，平台网址：</w:t>
      </w:r>
      <w:r>
        <w:rPr>
          <w:rFonts w:ascii="Times New Roman" w:hAnsi="Times New Roman" w:eastAsia="仿宋_GB2312" w:cs="Times New Roman"/>
          <w:sz w:val="32"/>
          <w:szCs w:val="32"/>
        </w:rPr>
        <w:t>https://www.hgrg.net/login</w:t>
      </w:r>
      <w:r>
        <w:rPr>
          <w:rFonts w:hint="eastAsia" w:ascii="Times New Roman" w:hAnsi="Times New Roman" w:eastAsia="仿宋_GB2312" w:cs="Times New Roman"/>
          <w:sz w:val="32"/>
          <w:szCs w:val="32"/>
        </w:rPr>
        <w:t>。</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十、办理方式</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本行政许可按照一般程序办理，包括申请、受理、技术评审、决定和文书送达等。</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（一）网上申请</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单位管理员（法人账号）新建项目，并授权申请人（自然人账号），由申请人登录系统并填报该项目。申请人完成填报，提交单位管理员审核无误后生成申请材料，直接下载并上传签字盖章的审核意见，单位管理员再提交正式申请。</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（二）受理</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申请人的申请材料齐全、形式符合规定的，科技部应当受理并出具加盖专用印章和注明日期的纸质或者电子凭证。</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申请材料不齐全或者不符合法定形式的，科技部应当在收到正式申请材料之日起五个工作日内一次性告知申请人需要补正的全部内容。</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（三）技术评审</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科技部委托中国生物技术发展中心组织专家对受理的申请事项进行技术评审，形成专家评审意见，作为作出行政许可决定的参考依据。</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（四）审批决定</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科技部根据评审结果，作出批准或不批准的决定。</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（五）结果公布</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科技部作出的准予行政许可决定，将在科技部网站予以公开。</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（六）送达</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科技部在</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个工作日内通过邮寄或电子送达方式将审批决定书送达申请单位指定的地址或邮箱</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网址，同时抄送省级科技行政部门，申请单位可在申报系统查询送达状态。</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十一、行政许可证件</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中国人类遗传资源材料出境审批决定书。</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十二、审批时限</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科技部在正式受理后</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个工作日内作出批准或不予批准的决定。因特殊原因无法在规定期限内作出审批决定的，经科技部负责人批准，可以延长</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个工作日。</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科技部作出行政许可决定，依法需要听证、检验、检测、检疫、鉴定、技术评审的，所需时间不计算在此期限内，但应当将所需时间书面告知申请人。</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十三、审批收费</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本审批事项不收费。</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十四、申请人权利和义务</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（一）依据《中华人民共和国行政许可法》《中华人民共和国人类遗传资源管理条例》《人类遗传资源管理条例实施细则》规定，申请人依法享有如下权利：</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对行政机关实施的行政许可，享有陈述权、申辩权；其合法权益因行政机关违法实施行政许可受到损害的，有权依法要求赔偿。</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申请人对审批决定有异议的，可以在收到通知之日起</w:t>
      </w:r>
      <w:r>
        <w:rPr>
          <w:rFonts w:ascii="Times New Roman" w:hAnsi="Times New Roman" w:eastAsia="仿宋_GB2312" w:cs="Times New Roman"/>
          <w:sz w:val="32"/>
          <w:szCs w:val="32"/>
        </w:rPr>
        <w:t>60</w:t>
      </w:r>
      <w:r>
        <w:rPr>
          <w:rFonts w:hint="eastAsia" w:ascii="Times New Roman" w:hAnsi="Times New Roman" w:eastAsia="仿宋_GB2312" w:cs="Times New Roman"/>
          <w:sz w:val="32"/>
          <w:szCs w:val="32"/>
        </w:rPr>
        <w:t>日内向科技部申请行政复议，也可在收到通知之日起</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个月内向人民法院提起诉讼。</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依据《中华人民共和国行政许可法》《中华人民共和国人类遗传资源管理条例》《人类遗传资源管理条例实施细则》规定，申请人申请行政许可，应当如实向行政机关提交有关材料并反映真实情况，对其申请材料实质内容的真实性负责。</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人在行政申请过程中存在弄虚作假等行为的，科技部将终止对其申请的审查或撤销已作出的审批决定，书面通知其主管部门，并视情节根据《中华人民共和国行政许可法》《中华人民共和国行政处罚法》和《中华人民共和国人类遗传资源管理条例》和《人类遗传资源管理条例实施细则》追究其责任。</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十五、咨询途径</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（一）窗口咨询：科技部行政审批受理窗口（地址：北京市海淀区西四环中路</w:t>
      </w:r>
      <w:r>
        <w:rPr>
          <w:rFonts w:ascii="Times New Roman" w:hAnsi="Times New Roman" w:eastAsia="仿宋_GB2312" w:cs="Times New Roman"/>
          <w:sz w:val="32"/>
          <w:szCs w:val="32"/>
        </w:rPr>
        <w:t>16</w:t>
      </w:r>
      <w:r>
        <w:rPr>
          <w:rFonts w:hint="eastAsia" w:ascii="Times New Roman" w:hAnsi="Times New Roman" w:eastAsia="仿宋_GB2312" w:cs="Times New Roman"/>
          <w:sz w:val="32"/>
          <w:szCs w:val="32"/>
        </w:rPr>
        <w:t>号院</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号楼</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层，中国生物技术发展中心）；</w:t>
      </w:r>
    </w:p>
    <w:p>
      <w:pPr>
        <w:widowControl/>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（二）电子邮件咨询：</w:t>
      </w:r>
      <w:r>
        <w:fldChar w:fldCharType="begin"/>
      </w:r>
      <w:r>
        <w:instrText xml:space="preserve"> HYPERLINK "mailto:ycb@cncbd.org.cn" </w:instrText>
      </w:r>
      <w:r>
        <w:fldChar w:fldCharType="separate"/>
      </w:r>
      <w:r>
        <w:rPr>
          <w:rFonts w:ascii="Times New Roman" w:hAnsi="Times New Roman" w:eastAsia="仿宋_GB2312" w:cs="Times New Roman"/>
          <w:sz w:val="32"/>
          <w:szCs w:val="32"/>
        </w:rPr>
        <w:t>ycb@cncbd.org.cn</w:t>
      </w:r>
      <w:r>
        <w:rPr>
          <w:rFonts w:ascii="Times New Roman" w:hAnsi="Times New Roman" w:eastAsia="仿宋_GB2312" w:cs="Times New Roman"/>
          <w:sz w:val="32"/>
          <w:szCs w:val="32"/>
        </w:rPr>
        <w:fldChar w:fldCharType="end"/>
      </w:r>
      <w:r>
        <w:rPr>
          <w:rFonts w:hint="eastAsia" w:ascii="Times New Roman" w:hAnsi="Times New Roman" w:eastAsia="仿宋_GB2312" w:cs="Times New Roman"/>
          <w:sz w:val="32"/>
          <w:szCs w:val="32"/>
        </w:rPr>
        <w:t>；</w:t>
      </w:r>
    </w:p>
    <w:p>
      <w:pPr>
        <w:widowControl/>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（三）电话咨询：</w:t>
      </w:r>
      <w:r>
        <w:rPr>
          <w:rFonts w:ascii="Times New Roman" w:hAnsi="Times New Roman" w:eastAsia="仿宋_GB2312" w:cs="Times New Roman"/>
          <w:sz w:val="32"/>
          <w:szCs w:val="32"/>
        </w:rPr>
        <w:t>010-88225151/88225168</w:t>
      </w:r>
      <w:r>
        <w:rPr>
          <w:rFonts w:hint="eastAsia" w:ascii="Times New Roman" w:hAnsi="Times New Roman" w:eastAsia="仿宋_GB2312" w:cs="Times New Roman"/>
          <w:sz w:val="32"/>
          <w:szCs w:val="32"/>
        </w:rPr>
        <w:t>。</w:t>
      </w:r>
    </w:p>
    <w:p>
      <w:pPr>
        <w:widowControl/>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（四）咨询时间：工作日</w:t>
      </w:r>
      <w:r>
        <w:rPr>
          <w:rFonts w:ascii="Times New Roman" w:hAnsi="Times New Roman" w:eastAsia="仿宋_GB2312" w:cs="Times New Roman"/>
          <w:sz w:val="32"/>
          <w:szCs w:val="32"/>
        </w:rPr>
        <w:t>8:30—11:30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13:30—16:30</w:t>
      </w:r>
      <w:r>
        <w:rPr>
          <w:rFonts w:hint="eastAsia" w:ascii="Times New Roman" w:hAnsi="Times New Roman" w:eastAsia="仿宋_GB2312" w:cs="Times New Roman"/>
          <w:sz w:val="32"/>
          <w:szCs w:val="32"/>
        </w:rPr>
        <w:t>。</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十六、监督、投诉和举报渠道</w:t>
      </w:r>
    </w:p>
    <w:p>
      <w:pPr>
        <w:pStyle w:val="12"/>
        <w:widowControl/>
        <w:numPr>
          <w:ilvl w:val="0"/>
          <w:numId w:val="1"/>
        </w:numPr>
        <w:spacing w:line="360" w:lineRule="auto"/>
        <w:ind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电话投诉：科技部科技监督与诚信建设司</w:t>
      </w:r>
    </w:p>
    <w:p>
      <w:pPr>
        <w:widowControl/>
        <w:spacing w:line="360" w:lineRule="auto"/>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010-68588709</w:t>
      </w:r>
      <w:r>
        <w:rPr>
          <w:rFonts w:hint="eastAsia" w:ascii="Times New Roman" w:hAnsi="Times New Roman" w:eastAsia="仿宋_GB2312" w:cs="Times New Roman"/>
          <w:sz w:val="32"/>
          <w:szCs w:val="32"/>
        </w:rPr>
        <w:t>；</w:t>
      </w:r>
    </w:p>
    <w:p>
      <w:pPr>
        <w:pStyle w:val="12"/>
        <w:widowControl/>
        <w:spacing w:line="360" w:lineRule="auto"/>
        <w:ind w:left="600" w:firstLine="0"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（二）电子邮件投诉：</w:t>
      </w:r>
      <w:r>
        <w:fldChar w:fldCharType="begin"/>
      </w:r>
      <w:r>
        <w:instrText xml:space="preserve"> HYPERLINK "mailto:chengxinban@most.cn" </w:instrText>
      </w:r>
      <w:r>
        <w:fldChar w:fldCharType="separate"/>
      </w:r>
      <w:r>
        <w:rPr>
          <w:rFonts w:ascii="Times New Roman" w:hAnsi="Times New Roman" w:eastAsia="仿宋_GB2312" w:cs="Times New Roman"/>
          <w:sz w:val="32"/>
          <w:szCs w:val="32"/>
        </w:rPr>
        <w:t>chengxinban@most.cn</w:t>
      </w:r>
      <w:r>
        <w:rPr>
          <w:rFonts w:ascii="Times New Roman" w:hAnsi="Times New Roman" w:eastAsia="仿宋_GB2312" w:cs="Times New Roman"/>
          <w:sz w:val="32"/>
          <w:szCs w:val="32"/>
        </w:rPr>
        <w:fldChar w:fldCharType="end"/>
      </w:r>
      <w:r>
        <w:rPr>
          <w:rFonts w:hint="eastAsia" w:ascii="Times New Roman" w:hAnsi="Times New Roman" w:eastAsia="仿宋_GB2312" w:cs="Times New Roman"/>
          <w:sz w:val="32"/>
          <w:szCs w:val="32"/>
        </w:rPr>
        <w:t>；</w:t>
      </w:r>
    </w:p>
    <w:p>
      <w:pPr>
        <w:pStyle w:val="12"/>
        <w:widowControl/>
        <w:spacing w:line="360" w:lineRule="auto"/>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（三）信函投诉：科技部科技监督与诚信建设司（地址：北京市复兴路乙</w:t>
      </w:r>
      <w:r>
        <w:rPr>
          <w:rFonts w:ascii="Times New Roman" w:hAnsi="Times New Roman" w:eastAsia="仿宋_GB2312" w:cs="Times New Roman"/>
          <w:sz w:val="32"/>
          <w:szCs w:val="32"/>
        </w:rPr>
        <w:t>15</w:t>
      </w:r>
      <w:r>
        <w:rPr>
          <w:rFonts w:hint="eastAsia" w:ascii="Times New Roman" w:hAnsi="Times New Roman" w:eastAsia="仿宋_GB2312" w:cs="Times New Roman"/>
          <w:sz w:val="32"/>
          <w:szCs w:val="32"/>
        </w:rPr>
        <w:t>号）。</w:t>
      </w:r>
    </w:p>
    <w:p>
      <w:pPr>
        <w:pStyle w:val="12"/>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十七、公开查询</w:t>
      </w:r>
    </w:p>
    <w:p>
      <w:pPr>
        <w:widowControl/>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自受理之日起</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个工作日后，可通过人类遗传资源服务系统或科技部网站查询结果。</w:t>
      </w:r>
    </w:p>
    <w:p>
      <w:pPr>
        <w:widowControl/>
        <w:jc w:val="left"/>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楷体">
    <w:altName w:val="方正楷体_GBK"/>
    <w:panose1 w:val="02010609060101010101"/>
    <w:charset w:val="86"/>
    <w:family w:val="modern"/>
    <w:pitch w:val="default"/>
    <w:sig w:usb0="00000000" w:usb1="00000000" w:usb2="00000016" w:usb3="00000000" w:csb0="00040001"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长城小标宋体">
    <w:panose1 w:val="02010609010101010101"/>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2610688"/>
      <w:docPartObj>
        <w:docPartGallery w:val="AutoText"/>
      </w:docPartObj>
    </w:sdtPr>
    <w:sdtEndPr>
      <w:rPr>
        <w:rFonts w:ascii="Times New Roman" w:hAnsi="Times New Roman" w:cs="Times New Roman"/>
        <w:lang w:val="zh-CN"/>
      </w:rPr>
    </w:sdtEndPr>
    <w:sdtContent>
      <w:p>
        <w:pPr>
          <w:pStyle w:val="5"/>
          <w:jc w:val="center"/>
          <w:rPr>
            <w:rFonts w:ascii="Times New Roman" w:hAnsi="Times New Roman" w:cs="Times New Roman"/>
            <w:lang w:val="zh-CN"/>
          </w:rPr>
        </w:pPr>
        <w:r>
          <w:rPr>
            <w:rFonts w:ascii="Times New Roman" w:hAnsi="Times New Roman" w:cs="Times New Roman"/>
            <w:lang w:val="zh-CN"/>
          </w:rPr>
          <w:fldChar w:fldCharType="begin"/>
        </w:r>
        <w:r>
          <w:rPr>
            <w:rFonts w:ascii="Times New Roman" w:hAnsi="Times New Roman" w:cs="Times New Roman"/>
            <w:lang w:val="zh-CN"/>
          </w:rPr>
          <w:instrText xml:space="preserve">PAGE   \* MERGEFORMAT</w:instrText>
        </w:r>
        <w:r>
          <w:rPr>
            <w:rFonts w:ascii="Times New Roman" w:hAnsi="Times New Roman" w:cs="Times New Roman"/>
            <w:lang w:val="zh-CN"/>
          </w:rPr>
          <w:fldChar w:fldCharType="separate"/>
        </w:r>
        <w:r>
          <w:rPr>
            <w:rFonts w:ascii="Times New Roman" w:hAnsi="Times New Roman" w:cs="Times New Roman"/>
            <w:lang w:val="zh-CN"/>
          </w:rPr>
          <w:t>9</w:t>
        </w:r>
        <w:r>
          <w:rPr>
            <w:rFonts w:ascii="Times New Roman" w:hAnsi="Times New Roman" w:cs="Times New Roman"/>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E15EE"/>
    <w:multiLevelType w:val="multilevel"/>
    <w:tmpl w:val="70AE15EE"/>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F5158D2"/>
    <w:rsid w:val="00015D2E"/>
    <w:rsid w:val="0004558B"/>
    <w:rsid w:val="0007289D"/>
    <w:rsid w:val="00077D4D"/>
    <w:rsid w:val="000D23F8"/>
    <w:rsid w:val="000D5CC0"/>
    <w:rsid w:val="00110D48"/>
    <w:rsid w:val="00115C4C"/>
    <w:rsid w:val="001327EC"/>
    <w:rsid w:val="00134E2C"/>
    <w:rsid w:val="001910F3"/>
    <w:rsid w:val="001B1E08"/>
    <w:rsid w:val="001B3E40"/>
    <w:rsid w:val="001C0CA3"/>
    <w:rsid w:val="001C52A5"/>
    <w:rsid w:val="00211448"/>
    <w:rsid w:val="002201C1"/>
    <w:rsid w:val="00231462"/>
    <w:rsid w:val="00242F8B"/>
    <w:rsid w:val="00271957"/>
    <w:rsid w:val="00275A93"/>
    <w:rsid w:val="00283538"/>
    <w:rsid w:val="00287463"/>
    <w:rsid w:val="002914CE"/>
    <w:rsid w:val="002974EF"/>
    <w:rsid w:val="002C6FA9"/>
    <w:rsid w:val="002D32D8"/>
    <w:rsid w:val="002F7CE9"/>
    <w:rsid w:val="00305AA7"/>
    <w:rsid w:val="00317752"/>
    <w:rsid w:val="00320690"/>
    <w:rsid w:val="003213DB"/>
    <w:rsid w:val="0032697C"/>
    <w:rsid w:val="00330B17"/>
    <w:rsid w:val="003A61BF"/>
    <w:rsid w:val="003C3FBC"/>
    <w:rsid w:val="00402B26"/>
    <w:rsid w:val="0043285E"/>
    <w:rsid w:val="00440FC6"/>
    <w:rsid w:val="004465D9"/>
    <w:rsid w:val="00493D30"/>
    <w:rsid w:val="004B0FA2"/>
    <w:rsid w:val="004B73B3"/>
    <w:rsid w:val="004E637A"/>
    <w:rsid w:val="004F0F62"/>
    <w:rsid w:val="004F222F"/>
    <w:rsid w:val="0050311D"/>
    <w:rsid w:val="005453B3"/>
    <w:rsid w:val="005A0814"/>
    <w:rsid w:val="005A441E"/>
    <w:rsid w:val="005B56D0"/>
    <w:rsid w:val="005D1AB1"/>
    <w:rsid w:val="005D4D68"/>
    <w:rsid w:val="005D5619"/>
    <w:rsid w:val="005E2460"/>
    <w:rsid w:val="005F54FC"/>
    <w:rsid w:val="005F6239"/>
    <w:rsid w:val="00616140"/>
    <w:rsid w:val="0064284B"/>
    <w:rsid w:val="00665524"/>
    <w:rsid w:val="006859B8"/>
    <w:rsid w:val="00692C08"/>
    <w:rsid w:val="006B76E1"/>
    <w:rsid w:val="00703FF5"/>
    <w:rsid w:val="007053E8"/>
    <w:rsid w:val="00726A4F"/>
    <w:rsid w:val="00752189"/>
    <w:rsid w:val="00787748"/>
    <w:rsid w:val="0079581B"/>
    <w:rsid w:val="007A2293"/>
    <w:rsid w:val="007D3B6D"/>
    <w:rsid w:val="008063B0"/>
    <w:rsid w:val="00820FE3"/>
    <w:rsid w:val="008260F0"/>
    <w:rsid w:val="008629F4"/>
    <w:rsid w:val="008B4A2E"/>
    <w:rsid w:val="008B73D1"/>
    <w:rsid w:val="0091544F"/>
    <w:rsid w:val="00965A7C"/>
    <w:rsid w:val="009746A4"/>
    <w:rsid w:val="00977E30"/>
    <w:rsid w:val="00980C51"/>
    <w:rsid w:val="0099589C"/>
    <w:rsid w:val="009B360B"/>
    <w:rsid w:val="00A30209"/>
    <w:rsid w:val="00A60E8A"/>
    <w:rsid w:val="00A91DF1"/>
    <w:rsid w:val="00A93961"/>
    <w:rsid w:val="00AA26ED"/>
    <w:rsid w:val="00AC0B6D"/>
    <w:rsid w:val="00AC40DE"/>
    <w:rsid w:val="00AE7FAF"/>
    <w:rsid w:val="00B14E44"/>
    <w:rsid w:val="00B25ABF"/>
    <w:rsid w:val="00B33BD6"/>
    <w:rsid w:val="00B375FB"/>
    <w:rsid w:val="00B57842"/>
    <w:rsid w:val="00B719D7"/>
    <w:rsid w:val="00B72E57"/>
    <w:rsid w:val="00BE29A8"/>
    <w:rsid w:val="00BE776D"/>
    <w:rsid w:val="00BE7E7C"/>
    <w:rsid w:val="00BF2937"/>
    <w:rsid w:val="00C13C39"/>
    <w:rsid w:val="00C156C4"/>
    <w:rsid w:val="00C873CC"/>
    <w:rsid w:val="00CA01DE"/>
    <w:rsid w:val="00CB2576"/>
    <w:rsid w:val="00CB7BE2"/>
    <w:rsid w:val="00D34A8A"/>
    <w:rsid w:val="00D3535B"/>
    <w:rsid w:val="00D60FF7"/>
    <w:rsid w:val="00D6130F"/>
    <w:rsid w:val="00DC1A2C"/>
    <w:rsid w:val="00DC3E4D"/>
    <w:rsid w:val="00DD303D"/>
    <w:rsid w:val="00DE0761"/>
    <w:rsid w:val="00E322DF"/>
    <w:rsid w:val="00E40DD1"/>
    <w:rsid w:val="00E500ED"/>
    <w:rsid w:val="00E852F1"/>
    <w:rsid w:val="00EB40D5"/>
    <w:rsid w:val="00EB63A7"/>
    <w:rsid w:val="00EC5CDF"/>
    <w:rsid w:val="00ED50A8"/>
    <w:rsid w:val="00EE5B62"/>
    <w:rsid w:val="00F03998"/>
    <w:rsid w:val="00F07B6B"/>
    <w:rsid w:val="00F2586E"/>
    <w:rsid w:val="00F25F48"/>
    <w:rsid w:val="00F4047B"/>
    <w:rsid w:val="00F42C91"/>
    <w:rsid w:val="00F5404A"/>
    <w:rsid w:val="00FB39A5"/>
    <w:rsid w:val="00FD04E6"/>
    <w:rsid w:val="00FD404A"/>
    <w:rsid w:val="00FD5D75"/>
    <w:rsid w:val="00FF2EC0"/>
    <w:rsid w:val="0F5158D2"/>
    <w:rsid w:val="44B54771"/>
    <w:rsid w:val="DEFFB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2"/>
    <w:next w:val="1"/>
    <w:unhideWhenUsed/>
    <w:qFormat/>
    <w:uiPriority w:val="0"/>
    <w:pPr>
      <w:keepNext/>
      <w:keepLines/>
      <w:widowControl w:val="0"/>
      <w:spacing w:before="260" w:after="260" w:line="413" w:lineRule="auto"/>
      <w:jc w:val="center"/>
      <w:outlineLvl w:val="1"/>
    </w:pPr>
    <w:rPr>
      <w:rFonts w:ascii="Times New Roman" w:hAnsi="Times New Roman" w:eastAsia="黑体" w:cs="Calibri"/>
      <w:kern w:val="2"/>
      <w:sz w:val="44"/>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qFormat/>
    <w:uiPriority w:val="0"/>
    <w:rPr>
      <w:b/>
      <w:bCs/>
    </w:r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paragraph" w:styleId="12">
    <w:name w:val="List Paragraph"/>
    <w:qFormat/>
    <w:uiPriority w:val="0"/>
    <w:pPr>
      <w:widowControl w:val="0"/>
      <w:ind w:firstLine="420" w:firstLineChars="200"/>
      <w:jc w:val="both"/>
    </w:pPr>
    <w:rPr>
      <w:rFonts w:ascii="Calibri" w:hAnsi="Calibri" w:eastAsia="仿宋" w:cs="Calibri"/>
      <w:kern w:val="2"/>
      <w:sz w:val="28"/>
      <w:szCs w:val="21"/>
      <w:lang w:val="en-US" w:eastAsia="zh-CN" w:bidi="ar-SA"/>
    </w:rPr>
  </w:style>
  <w:style w:type="character" w:customStyle="1" w:styleId="13">
    <w:name w:val="页眉 字符"/>
    <w:basedOn w:val="9"/>
    <w:link w:val="6"/>
    <w:qFormat/>
    <w:uiPriority w:val="0"/>
    <w:rPr>
      <w:rFonts w:eastAsia="仿宋" w:cs="Calibri"/>
      <w:kern w:val="2"/>
      <w:sz w:val="18"/>
      <w:szCs w:val="18"/>
    </w:rPr>
  </w:style>
  <w:style w:type="character" w:customStyle="1" w:styleId="14">
    <w:name w:val="页脚 字符"/>
    <w:basedOn w:val="9"/>
    <w:link w:val="5"/>
    <w:qFormat/>
    <w:uiPriority w:val="99"/>
    <w:rPr>
      <w:rFonts w:eastAsia="仿宋" w:cs="Calibri"/>
      <w:kern w:val="2"/>
      <w:sz w:val="18"/>
      <w:szCs w:val="18"/>
    </w:rPr>
  </w:style>
  <w:style w:type="character" w:customStyle="1" w:styleId="15">
    <w:name w:val="批注框文本 字符"/>
    <w:basedOn w:val="9"/>
    <w:link w:val="4"/>
    <w:qFormat/>
    <w:uiPriority w:val="0"/>
    <w:rPr>
      <w:rFonts w:eastAsia="仿宋" w:cs="Calibri"/>
      <w:kern w:val="2"/>
      <w:sz w:val="18"/>
      <w:szCs w:val="18"/>
    </w:rPr>
  </w:style>
  <w:style w:type="character" w:customStyle="1" w:styleId="16">
    <w:name w:val="批注文字 字符"/>
    <w:basedOn w:val="9"/>
    <w:link w:val="3"/>
    <w:qFormat/>
    <w:uiPriority w:val="0"/>
    <w:rPr>
      <w:rFonts w:eastAsia="仿宋" w:cs="Calibri"/>
      <w:kern w:val="2"/>
      <w:sz w:val="28"/>
      <w:szCs w:val="21"/>
    </w:rPr>
  </w:style>
  <w:style w:type="character" w:customStyle="1" w:styleId="17">
    <w:name w:val="批注主题 字符"/>
    <w:basedOn w:val="16"/>
    <w:link w:val="7"/>
    <w:qFormat/>
    <w:uiPriority w:val="0"/>
    <w:rPr>
      <w:rFonts w:eastAsia="仿宋" w:cs="Calibri"/>
      <w:b/>
      <w:bCs/>
      <w:kern w:val="2"/>
      <w:sz w:val="28"/>
      <w:szCs w:val="21"/>
    </w:rPr>
  </w:style>
  <w:style w:type="paragraph" w:customStyle="1" w:styleId="1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485</Words>
  <Characters>2766</Characters>
  <Lines>23</Lines>
  <Paragraphs>6</Paragraphs>
  <TotalTime>2</TotalTime>
  <ScaleCrop>false</ScaleCrop>
  <LinksUpToDate>false</LinksUpToDate>
  <CharactersWithSpaces>3245</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2023-06-15T17:40:00Z</dcterms:created>
  <dc:creator>panzi</dc:creator>
  <cp:lastModifiedBy>sfs_cuibei</cp:lastModifiedBy>
  <cp:lastPrinted>2023-07-03T11:22:29Z</cp:lastPrinted>
  <dcterms:modified xsi:type="dcterms:W3CDTF">2023-07-03T11:30:34Z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