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jc w:val="center"/>
        <w:rPr>
          <w:b/>
          <w:bCs/>
          <w:sz w:val="32"/>
          <w:szCs w:val="28"/>
        </w:rPr>
      </w:pPr>
    </w:p>
    <w:p>
      <w:pPr>
        <w:widowControl/>
        <w:spacing w:line="240" w:lineRule="atLeast"/>
        <w:jc w:val="center"/>
        <w:rPr>
          <w:rFonts w:ascii="方正小标宋简体" w:eastAsia="方正小标宋简体"/>
          <w:bCs/>
          <w:sz w:val="32"/>
          <w:szCs w:val="28"/>
        </w:rPr>
      </w:pPr>
      <w:r>
        <w:rPr>
          <w:rFonts w:hint="eastAsia" w:ascii="方正小标宋简体" w:eastAsia="方正小标宋简体"/>
          <w:bCs/>
          <w:sz w:val="32"/>
          <w:szCs w:val="28"/>
        </w:rPr>
        <w:t>成都上锦南府医院/四川大学华西医院上锦医院</w:t>
      </w:r>
    </w:p>
    <w:p>
      <w:pPr>
        <w:widowControl/>
        <w:spacing w:line="240" w:lineRule="atLeast"/>
        <w:jc w:val="center"/>
        <w:rPr>
          <w:rFonts w:ascii="方正小标宋简体" w:eastAsia="方正小标宋简体"/>
          <w:bCs/>
          <w:sz w:val="32"/>
          <w:szCs w:val="28"/>
        </w:rPr>
      </w:pPr>
      <w:r>
        <w:rPr>
          <w:rFonts w:hint="eastAsia" w:ascii="方正小标宋简体" w:eastAsia="方正小标宋简体"/>
          <w:bCs/>
          <w:sz w:val="32"/>
          <w:szCs w:val="28"/>
        </w:rPr>
        <w:t>临床试验结题后自查表（器械）</w:t>
      </w:r>
    </w:p>
    <w:p>
      <w:pPr>
        <w:spacing w:line="360" w:lineRule="auto"/>
        <w:ind w:firstLine="562" w:firstLineChars="200"/>
        <w:jc w:val="center"/>
        <w:rPr>
          <w:b/>
          <w:color w:val="000000"/>
          <w:sz w:val="28"/>
          <w:szCs w:val="28"/>
        </w:rPr>
      </w:pPr>
    </w:p>
    <w:tbl>
      <w:tblPr>
        <w:tblStyle w:val="7"/>
        <w:tblW w:w="9204"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2258"/>
        <w:gridCol w:w="2552"/>
        <w:gridCol w:w="644"/>
        <w:gridCol w:w="1134"/>
        <w:gridCol w:w="567"/>
        <w:gridCol w:w="2049"/>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77" w:hRule="atLeast"/>
          <w:jc w:val="center"/>
        </w:trPr>
        <w:tc>
          <w:tcPr>
            <w:tcW w:w="2258" w:type="dxa"/>
            <w:vAlign w:val="center"/>
          </w:tcPr>
          <w:p>
            <w:pPr>
              <w:widowControl/>
              <w:spacing w:line="240" w:lineRule="atLeast"/>
              <w:jc w:val="center"/>
              <w:rPr>
                <w:b/>
                <w:bCs/>
                <w:sz w:val="28"/>
              </w:rPr>
            </w:pPr>
            <w:r>
              <w:rPr>
                <w:b/>
                <w:bCs/>
                <w:sz w:val="28"/>
              </w:rPr>
              <w:t>试验</w:t>
            </w:r>
            <w:r>
              <w:rPr>
                <w:rFonts w:hint="eastAsia"/>
                <w:b/>
                <w:bCs/>
                <w:sz w:val="28"/>
              </w:rPr>
              <w:t>名</w:t>
            </w:r>
            <w:r>
              <w:rPr>
                <w:b/>
                <w:bCs/>
                <w:sz w:val="28"/>
              </w:rPr>
              <w:t>称</w:t>
            </w:r>
          </w:p>
        </w:tc>
        <w:tc>
          <w:tcPr>
            <w:tcW w:w="6946" w:type="dxa"/>
            <w:gridSpan w:val="5"/>
            <w:vAlign w:val="center"/>
          </w:tcPr>
          <w:p>
            <w:pPr>
              <w:widowControl/>
              <w:adjustRightInd w:val="0"/>
              <w:snapToGrid w:val="0"/>
              <w:spacing w:before="100" w:beforeAutospacing="1" w:line="240" w:lineRule="atLeast"/>
              <w:jc w:val="left"/>
              <w:rPr>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77" w:hRule="atLeast"/>
          <w:jc w:val="center"/>
        </w:trPr>
        <w:tc>
          <w:tcPr>
            <w:tcW w:w="2258" w:type="dxa"/>
            <w:vAlign w:val="center"/>
          </w:tcPr>
          <w:p>
            <w:pPr>
              <w:widowControl/>
              <w:spacing w:line="240" w:lineRule="atLeast"/>
              <w:jc w:val="center"/>
              <w:rPr>
                <w:b/>
                <w:bCs/>
                <w:sz w:val="28"/>
              </w:rPr>
            </w:pPr>
            <w:r>
              <w:rPr>
                <w:rFonts w:hint="eastAsia"/>
                <w:b/>
                <w:bCs/>
                <w:sz w:val="28"/>
              </w:rPr>
              <w:t>合同</w:t>
            </w:r>
            <w:r>
              <w:rPr>
                <w:b/>
                <w:bCs/>
                <w:sz w:val="28"/>
              </w:rPr>
              <w:t>编号</w:t>
            </w:r>
          </w:p>
        </w:tc>
        <w:tc>
          <w:tcPr>
            <w:tcW w:w="6946" w:type="dxa"/>
            <w:gridSpan w:val="5"/>
            <w:vAlign w:val="center"/>
          </w:tcPr>
          <w:p>
            <w:pPr>
              <w:widowControl/>
              <w:adjustRightInd w:val="0"/>
              <w:snapToGrid w:val="0"/>
              <w:spacing w:line="240" w:lineRule="atLeast"/>
              <w:jc w:val="left"/>
              <w:rPr>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00" w:hRule="atLeast"/>
          <w:jc w:val="center"/>
        </w:trPr>
        <w:tc>
          <w:tcPr>
            <w:tcW w:w="2258" w:type="dxa"/>
            <w:vAlign w:val="center"/>
          </w:tcPr>
          <w:p>
            <w:pPr>
              <w:widowControl/>
              <w:spacing w:line="240" w:lineRule="atLeast"/>
              <w:jc w:val="center"/>
              <w:rPr>
                <w:b/>
                <w:bCs/>
                <w:sz w:val="28"/>
              </w:rPr>
            </w:pPr>
            <w:r>
              <w:rPr>
                <w:b/>
                <w:bCs/>
                <w:sz w:val="28"/>
              </w:rPr>
              <w:t>科室</w:t>
            </w:r>
          </w:p>
        </w:tc>
        <w:tc>
          <w:tcPr>
            <w:tcW w:w="2552" w:type="dxa"/>
            <w:vAlign w:val="center"/>
          </w:tcPr>
          <w:p>
            <w:pPr>
              <w:widowControl/>
              <w:adjustRightInd w:val="0"/>
              <w:snapToGrid w:val="0"/>
              <w:spacing w:line="240" w:lineRule="atLeast"/>
              <w:jc w:val="left"/>
              <w:rPr>
                <w:sz w:val="24"/>
              </w:rPr>
            </w:pPr>
          </w:p>
        </w:tc>
        <w:tc>
          <w:tcPr>
            <w:tcW w:w="1778" w:type="dxa"/>
            <w:gridSpan w:val="2"/>
            <w:vAlign w:val="center"/>
          </w:tcPr>
          <w:p>
            <w:pPr>
              <w:widowControl/>
              <w:adjustRightInd w:val="0"/>
              <w:snapToGrid w:val="0"/>
              <w:spacing w:line="240" w:lineRule="atLeast"/>
              <w:jc w:val="left"/>
              <w:rPr>
                <w:sz w:val="24"/>
              </w:rPr>
            </w:pPr>
            <w:r>
              <w:rPr>
                <w:b/>
                <w:bCs/>
                <w:sz w:val="28"/>
              </w:rPr>
              <w:t>主要研究者签字签日期</w:t>
            </w:r>
          </w:p>
        </w:tc>
        <w:tc>
          <w:tcPr>
            <w:tcW w:w="2616" w:type="dxa"/>
            <w:gridSpan w:val="2"/>
            <w:vAlign w:val="center"/>
          </w:tcPr>
          <w:p>
            <w:pPr>
              <w:widowControl/>
              <w:adjustRightInd w:val="0"/>
              <w:snapToGrid w:val="0"/>
              <w:spacing w:line="240" w:lineRule="atLeast"/>
              <w:jc w:val="left"/>
              <w:rPr>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08" w:hRule="atLeast"/>
          <w:jc w:val="center"/>
        </w:trPr>
        <w:tc>
          <w:tcPr>
            <w:tcW w:w="2258" w:type="dxa"/>
            <w:vAlign w:val="center"/>
          </w:tcPr>
          <w:p>
            <w:pPr>
              <w:widowControl/>
              <w:spacing w:line="240" w:lineRule="atLeast"/>
              <w:jc w:val="center"/>
              <w:rPr>
                <w:b/>
                <w:bCs/>
                <w:sz w:val="28"/>
              </w:rPr>
            </w:pPr>
            <w:r>
              <w:rPr>
                <w:b/>
                <w:bCs/>
                <w:sz w:val="28"/>
              </w:rPr>
              <w:t>申办者</w:t>
            </w:r>
          </w:p>
        </w:tc>
        <w:tc>
          <w:tcPr>
            <w:tcW w:w="6946" w:type="dxa"/>
            <w:gridSpan w:val="5"/>
            <w:vAlign w:val="center"/>
          </w:tcPr>
          <w:p>
            <w:pPr>
              <w:widowControl/>
              <w:adjustRightInd w:val="0"/>
              <w:snapToGrid w:val="0"/>
              <w:spacing w:line="240" w:lineRule="atLeast"/>
              <w:jc w:val="left"/>
              <w:rPr>
                <w:rFonts w:eastAsiaTheme="minorEastAsia"/>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02" w:hRule="atLeast"/>
          <w:jc w:val="center"/>
        </w:trPr>
        <w:tc>
          <w:tcPr>
            <w:tcW w:w="2258" w:type="dxa"/>
            <w:vAlign w:val="center"/>
          </w:tcPr>
          <w:p>
            <w:pPr>
              <w:spacing w:line="240" w:lineRule="atLeast"/>
              <w:rPr>
                <w:b/>
                <w:bCs/>
                <w:sz w:val="28"/>
              </w:rPr>
            </w:pPr>
            <w:r>
              <w:rPr>
                <w:rFonts w:hint="eastAsia"/>
                <w:b/>
                <w:bCs/>
                <w:sz w:val="28"/>
              </w:rPr>
              <w:t>项目经理联系方式（邮箱及电话）</w:t>
            </w:r>
          </w:p>
        </w:tc>
        <w:tc>
          <w:tcPr>
            <w:tcW w:w="6946" w:type="dxa"/>
            <w:gridSpan w:val="5"/>
            <w:vAlign w:val="center"/>
          </w:tcPr>
          <w:p>
            <w:pPr>
              <w:adjustRightInd w:val="0"/>
              <w:snapToGrid w:val="0"/>
              <w:spacing w:line="240" w:lineRule="atLeast"/>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838" w:hRule="atLeast"/>
          <w:jc w:val="center"/>
        </w:trPr>
        <w:tc>
          <w:tcPr>
            <w:tcW w:w="2258" w:type="dxa"/>
            <w:vAlign w:val="center"/>
          </w:tcPr>
          <w:p>
            <w:pPr>
              <w:spacing w:line="240" w:lineRule="atLeast"/>
              <w:rPr>
                <w:b/>
                <w:bCs/>
                <w:sz w:val="28"/>
              </w:rPr>
            </w:pPr>
            <w:r>
              <w:rPr>
                <w:rFonts w:hint="eastAsia"/>
                <w:b/>
                <w:bCs/>
                <w:sz w:val="28"/>
              </w:rPr>
              <w:t>CRA联系方式（邮箱及电话）</w:t>
            </w:r>
          </w:p>
        </w:tc>
        <w:tc>
          <w:tcPr>
            <w:tcW w:w="3196" w:type="dxa"/>
            <w:gridSpan w:val="2"/>
            <w:vAlign w:val="center"/>
          </w:tcPr>
          <w:p>
            <w:pPr>
              <w:adjustRightInd w:val="0"/>
              <w:snapToGrid w:val="0"/>
              <w:spacing w:line="240" w:lineRule="atLeast"/>
            </w:pPr>
          </w:p>
        </w:tc>
        <w:tc>
          <w:tcPr>
            <w:tcW w:w="1701" w:type="dxa"/>
            <w:gridSpan w:val="2"/>
            <w:vAlign w:val="center"/>
          </w:tcPr>
          <w:p>
            <w:pPr>
              <w:adjustRightInd w:val="0"/>
              <w:snapToGrid w:val="0"/>
              <w:spacing w:line="360" w:lineRule="auto"/>
              <w:jc w:val="center"/>
            </w:pPr>
            <w:r>
              <w:rPr>
                <w:b/>
                <w:bCs/>
                <w:sz w:val="28"/>
              </w:rPr>
              <w:t>CRA签字签日期</w:t>
            </w:r>
          </w:p>
        </w:tc>
        <w:tc>
          <w:tcPr>
            <w:tcW w:w="2049" w:type="dxa"/>
            <w:vAlign w:val="center"/>
          </w:tcPr>
          <w:p>
            <w:pPr>
              <w:adjustRightInd w:val="0"/>
              <w:snapToGrid w:val="0"/>
              <w:spacing w:line="240" w:lineRule="atLeast"/>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833" w:hRule="atLeast"/>
          <w:jc w:val="center"/>
        </w:trPr>
        <w:tc>
          <w:tcPr>
            <w:tcW w:w="2258" w:type="dxa"/>
            <w:vAlign w:val="center"/>
          </w:tcPr>
          <w:p>
            <w:pPr>
              <w:spacing w:line="240" w:lineRule="atLeast"/>
              <w:rPr>
                <w:b/>
                <w:bCs/>
                <w:sz w:val="28"/>
              </w:rPr>
            </w:pPr>
            <w:r>
              <w:rPr>
                <w:rFonts w:hint="eastAsia"/>
                <w:b/>
                <w:bCs/>
                <w:sz w:val="28"/>
              </w:rPr>
              <w:t>CRC联系方式（邮箱及电话）</w:t>
            </w:r>
          </w:p>
        </w:tc>
        <w:tc>
          <w:tcPr>
            <w:tcW w:w="3196" w:type="dxa"/>
            <w:gridSpan w:val="2"/>
            <w:vAlign w:val="center"/>
          </w:tcPr>
          <w:p>
            <w:pPr>
              <w:adjustRightInd w:val="0"/>
              <w:snapToGrid w:val="0"/>
              <w:spacing w:line="240" w:lineRule="atLeast"/>
            </w:pPr>
          </w:p>
        </w:tc>
        <w:tc>
          <w:tcPr>
            <w:tcW w:w="1701" w:type="dxa"/>
            <w:gridSpan w:val="2"/>
            <w:vAlign w:val="center"/>
          </w:tcPr>
          <w:p>
            <w:pPr>
              <w:adjustRightInd w:val="0"/>
              <w:snapToGrid w:val="0"/>
              <w:spacing w:line="360" w:lineRule="auto"/>
              <w:jc w:val="center"/>
              <w:rPr>
                <w:b/>
                <w:bCs/>
                <w:sz w:val="28"/>
              </w:rPr>
            </w:pPr>
            <w:r>
              <w:rPr>
                <w:b/>
                <w:bCs/>
                <w:sz w:val="28"/>
              </w:rPr>
              <w:t>CRC签字签日期</w:t>
            </w:r>
          </w:p>
        </w:tc>
        <w:tc>
          <w:tcPr>
            <w:tcW w:w="2049" w:type="dxa"/>
            <w:vAlign w:val="center"/>
          </w:tcPr>
          <w:p>
            <w:pPr>
              <w:adjustRightInd w:val="0"/>
              <w:snapToGrid w:val="0"/>
              <w:spacing w:line="240" w:lineRule="atLeast"/>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833" w:hRule="atLeast"/>
          <w:jc w:val="center"/>
        </w:trPr>
        <w:tc>
          <w:tcPr>
            <w:tcW w:w="2258" w:type="dxa"/>
            <w:vAlign w:val="center"/>
          </w:tcPr>
          <w:p>
            <w:pPr>
              <w:widowControl/>
              <w:spacing w:line="240" w:lineRule="atLeast"/>
              <w:jc w:val="center"/>
              <w:rPr>
                <w:b/>
                <w:bCs/>
                <w:sz w:val="28"/>
              </w:rPr>
            </w:pPr>
            <w:r>
              <w:rPr>
                <w:b/>
                <w:bCs/>
                <w:sz w:val="28"/>
              </w:rPr>
              <w:t>自查问题</w:t>
            </w:r>
            <w:r>
              <w:rPr>
                <w:rFonts w:hint="eastAsia"/>
                <w:b/>
                <w:bCs/>
                <w:sz w:val="28"/>
              </w:rPr>
              <w:t>简</w:t>
            </w:r>
            <w:r>
              <w:rPr>
                <w:b/>
                <w:bCs/>
                <w:sz w:val="28"/>
              </w:rPr>
              <w:t>述</w:t>
            </w:r>
          </w:p>
        </w:tc>
        <w:tc>
          <w:tcPr>
            <w:tcW w:w="6946" w:type="dxa"/>
            <w:gridSpan w:val="5"/>
            <w:vAlign w:val="center"/>
          </w:tcPr>
          <w:p>
            <w:pPr>
              <w:widowControl/>
              <w:adjustRightInd w:val="0"/>
              <w:snapToGrid w:val="0"/>
              <w:spacing w:line="240" w:lineRule="atLeast"/>
              <w:jc w:val="left"/>
              <w:rPr>
                <w:bCs/>
                <w:sz w:val="24"/>
              </w:rPr>
            </w:pPr>
            <w:r>
              <w:rPr>
                <w:bCs/>
                <w:sz w:val="24"/>
              </w:rPr>
              <w:t>试验开展中发现问题已解决</w:t>
            </w:r>
            <w:r>
              <w:rPr>
                <w:rFonts w:hint="eastAsia"/>
                <w:bCs/>
                <w:sz w:val="24"/>
              </w:rPr>
              <w:t>：</w:t>
            </w: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r>
              <w:rPr>
                <w:rFonts w:hint="eastAsia" w:ascii="宋体" w:hAnsi="宋体"/>
                <w:bCs/>
                <w:sz w:val="24"/>
              </w:rPr>
              <w:t>□是    □否（请详细描述未解决的问题）</w:t>
            </w: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tc>
      </w:tr>
    </w:tbl>
    <w:p>
      <w:pPr>
        <w:spacing w:line="360" w:lineRule="auto"/>
        <w:rPr>
          <w:b/>
          <w:color w:val="000000"/>
          <w:sz w:val="28"/>
          <w:szCs w:val="28"/>
        </w:rPr>
      </w:pPr>
    </w:p>
    <w:tbl>
      <w:tblPr>
        <w:tblStyle w:val="7"/>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66" w:type="dxa"/>
            <w:vMerge w:val="restart"/>
            <w:vAlign w:val="center"/>
          </w:tcPr>
          <w:p>
            <w:pPr>
              <w:jc w:val="center"/>
              <w:rPr>
                <w:rFonts w:ascii="宋体" w:hAnsi="宋体"/>
                <w:color w:val="000000"/>
                <w:sz w:val="24"/>
              </w:rPr>
            </w:pPr>
            <w:r>
              <w:rPr>
                <w:rFonts w:hint="eastAsia" w:ascii="宋体" w:hAnsi="宋体"/>
                <w:b/>
                <w:bCs/>
                <w:sz w:val="28"/>
                <w:szCs w:val="28"/>
              </w:rPr>
              <w:t>文件名称</w:t>
            </w:r>
          </w:p>
        </w:tc>
        <w:tc>
          <w:tcPr>
            <w:tcW w:w="1843" w:type="dxa"/>
            <w:vMerge w:val="restart"/>
            <w:vAlign w:val="center"/>
          </w:tcPr>
          <w:p>
            <w:pPr>
              <w:jc w:val="center"/>
              <w:rPr>
                <w:rFonts w:ascii="宋体" w:hAnsi="宋体"/>
                <w:color w:val="000000"/>
                <w:sz w:val="24"/>
              </w:rPr>
            </w:pPr>
            <w:r>
              <w:rPr>
                <w:rFonts w:hint="eastAsia" w:ascii="宋体" w:hAnsi="宋体"/>
                <w:b/>
                <w:bCs/>
                <w:sz w:val="28"/>
                <w:szCs w:val="28"/>
              </w:rPr>
              <w:t>自查结果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66" w:type="dxa"/>
            <w:vMerge w:val="continue"/>
            <w:vAlign w:val="center"/>
          </w:tcPr>
          <w:p>
            <w:pPr>
              <w:spacing w:line="360" w:lineRule="auto"/>
              <w:ind w:firstLine="480"/>
              <w:jc w:val="center"/>
              <w:rPr>
                <w:rFonts w:ascii="宋体" w:hAnsi="宋体"/>
                <w:color w:val="000000"/>
                <w:sz w:val="24"/>
              </w:rPr>
            </w:pPr>
          </w:p>
        </w:tc>
        <w:tc>
          <w:tcPr>
            <w:tcW w:w="1843" w:type="dxa"/>
            <w:vMerge w:val="continue"/>
            <w:vAlign w:val="center"/>
          </w:tcPr>
          <w:p>
            <w:pPr>
              <w:spacing w:line="360" w:lineRule="auto"/>
              <w:ind w:firstLine="48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209" w:type="dxa"/>
            <w:gridSpan w:val="2"/>
            <w:vAlign w:val="center"/>
          </w:tcPr>
          <w:p>
            <w:pPr>
              <w:rPr>
                <w:rFonts w:ascii="宋体" w:hAnsi="宋体"/>
                <w:b/>
                <w:bCs/>
                <w:sz w:val="28"/>
                <w:szCs w:val="28"/>
              </w:rPr>
            </w:pPr>
            <w:r>
              <w:rPr>
                <w:rFonts w:hint="eastAsia" w:ascii="宋体" w:hAnsi="宋体"/>
                <w:b/>
                <w:bCs/>
                <w:sz w:val="28"/>
                <w:szCs w:val="28"/>
              </w:rPr>
              <w:t>一、临床试验前准备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66" w:type="dxa"/>
            <w:vAlign w:val="center"/>
          </w:tcPr>
          <w:p>
            <w:pPr>
              <w:rPr>
                <w:rFonts w:ascii="宋体" w:hAnsi="宋体"/>
                <w:sz w:val="24"/>
              </w:rPr>
            </w:pPr>
            <w:r>
              <w:rPr>
                <w:sz w:val="24"/>
              </w:rPr>
              <w:t>1.</w:t>
            </w:r>
            <w:r>
              <w:rPr>
                <w:rFonts w:hint="eastAsia" w:ascii="宋体" w:hAnsi="宋体"/>
                <w:sz w:val="24"/>
              </w:rPr>
              <w:t>具有《医疗器械临床试验备案表》或《临床试验批件》（需要进行临床试验审批的第三类医疗器械），且备案/批件日期不晚于临床试验开始日期</w:t>
            </w:r>
          </w:p>
        </w:tc>
        <w:tc>
          <w:tcPr>
            <w:tcW w:w="1843" w:type="dxa"/>
            <w:vAlign w:val="center"/>
          </w:tcPr>
          <w:p>
            <w:pPr>
              <w:pStyle w:val="10"/>
              <w:ind w:firstLine="0" w:firstLineChars="0"/>
              <w:rPr>
                <w:rFonts w:ascii="宋体" w:hAnsi="宋体" w:eastAsia="宋体"/>
                <w:sz w:val="24"/>
                <w:szCs w:val="24"/>
              </w:rPr>
            </w:pPr>
            <w:r>
              <w:rPr>
                <w:rFonts w:hint="eastAsia" w:ascii="宋体" w:hAnsi="宋体" w:eastAsia="宋体"/>
                <w:sz w:val="24"/>
                <w:szCs w:val="24"/>
              </w:rPr>
              <w:t>□是□否□</w:t>
            </w:r>
            <w:r>
              <w:rPr>
                <w:rFonts w:hint="eastAsia" w:ascii="Times New Roman" w:hAnsi="Times New Roman" w:eastAsia="宋体"/>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66" w:type="dxa"/>
            <w:vAlign w:val="center"/>
          </w:tcPr>
          <w:p>
            <w:pPr>
              <w:pStyle w:val="10"/>
              <w:ind w:firstLine="0" w:firstLineChars="0"/>
              <w:rPr>
                <w:rFonts w:ascii="宋体" w:hAnsi="宋体" w:eastAsia="宋体"/>
                <w:sz w:val="24"/>
                <w:szCs w:val="24"/>
              </w:rPr>
            </w:pPr>
            <w:r>
              <w:rPr>
                <w:rFonts w:hint="eastAsia" w:ascii="Times New Roman" w:hAnsi="Times New Roman" w:eastAsia="宋体"/>
                <w:sz w:val="24"/>
                <w:szCs w:val="24"/>
              </w:rPr>
              <w:t>2</w:t>
            </w:r>
            <w:r>
              <w:rPr>
                <w:rFonts w:ascii="Times New Roman" w:hAnsi="Times New Roman" w:eastAsia="宋体"/>
                <w:sz w:val="24"/>
                <w:szCs w:val="24"/>
              </w:rPr>
              <w:t>.</w:t>
            </w:r>
            <w:r>
              <w:rPr>
                <w:rFonts w:hint="eastAsia" w:ascii="宋体" w:hAnsi="宋体" w:eastAsia="宋体"/>
                <w:sz w:val="24"/>
                <w:szCs w:val="24"/>
              </w:rPr>
              <w:t>具有临床试验机构伦理委员会伦理审查批件（含本中心和组长单位伦理审查批件）</w:t>
            </w:r>
          </w:p>
        </w:tc>
        <w:tc>
          <w:tcPr>
            <w:tcW w:w="1843" w:type="dxa"/>
            <w:vAlign w:val="center"/>
          </w:tcPr>
          <w:p>
            <w:pPr>
              <w:pStyle w:val="10"/>
              <w:ind w:firstLine="0" w:firstLineChars="0"/>
              <w:rPr>
                <w:rFonts w:ascii="宋体" w:hAnsi="宋体" w:eastAsia="宋体"/>
                <w:sz w:val="24"/>
                <w:szCs w:val="24"/>
              </w:rPr>
            </w:pPr>
            <w:r>
              <w:rPr>
                <w:rFonts w:hint="eastAsia" w:ascii="宋体" w:hAnsi="宋体" w:eastAsia="宋体"/>
                <w:sz w:val="24"/>
                <w:szCs w:val="24"/>
              </w:rPr>
              <w:t>□是□否□</w:t>
            </w:r>
            <w:r>
              <w:rPr>
                <w:rFonts w:hint="eastAsia" w:ascii="Times New Roman" w:hAnsi="Times New Roman" w:eastAsia="宋体"/>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66" w:type="dxa"/>
            <w:vAlign w:val="center"/>
          </w:tcPr>
          <w:p>
            <w:pPr>
              <w:pStyle w:val="10"/>
              <w:ind w:firstLine="0" w:firstLineChars="0"/>
              <w:rPr>
                <w:rFonts w:ascii="宋体" w:hAnsi="宋体" w:eastAsia="宋体"/>
                <w:sz w:val="24"/>
                <w:szCs w:val="24"/>
              </w:rPr>
            </w:pPr>
            <w:r>
              <w:rPr>
                <w:rFonts w:hint="eastAsia" w:ascii="Times New Roman" w:hAnsi="Times New Roman" w:eastAsia="宋体"/>
                <w:sz w:val="24"/>
                <w:szCs w:val="24"/>
              </w:rPr>
              <w:t>3.</w:t>
            </w:r>
            <w:r>
              <w:rPr>
                <w:rFonts w:hint="eastAsia" w:ascii="宋体" w:hAnsi="宋体" w:eastAsia="宋体"/>
                <w:sz w:val="24"/>
                <w:szCs w:val="24"/>
              </w:rPr>
              <w:t>遗传办批件（如适用，则本中心需完成备案）</w:t>
            </w:r>
          </w:p>
        </w:tc>
        <w:tc>
          <w:tcPr>
            <w:tcW w:w="1843" w:type="dxa"/>
            <w:vAlign w:val="center"/>
          </w:tcPr>
          <w:p>
            <w:pPr>
              <w:pStyle w:val="10"/>
              <w:ind w:firstLine="0" w:firstLineChars="0"/>
              <w:rPr>
                <w:rFonts w:ascii="宋体" w:hAnsi="宋体" w:eastAsia="宋体"/>
                <w:sz w:val="24"/>
                <w:szCs w:val="24"/>
              </w:rPr>
            </w:pPr>
            <w:r>
              <w:rPr>
                <w:rFonts w:hint="eastAsia" w:ascii="宋体" w:hAnsi="宋体" w:eastAsia="宋体"/>
                <w:sz w:val="24"/>
                <w:szCs w:val="24"/>
              </w:rPr>
              <w:t>□是□否□</w:t>
            </w:r>
            <w:r>
              <w:rPr>
                <w:rFonts w:hint="eastAsia" w:ascii="Times New Roman" w:hAnsi="Times New Roman" w:eastAsia="宋体"/>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66" w:type="dxa"/>
            <w:vAlign w:val="center"/>
          </w:tcPr>
          <w:p>
            <w:pPr>
              <w:pStyle w:val="10"/>
              <w:ind w:firstLine="0" w:firstLineChars="0"/>
              <w:rPr>
                <w:rFonts w:ascii="宋体" w:hAnsi="宋体" w:eastAsia="宋体" w:cs="楷体_GB2312"/>
                <w:sz w:val="24"/>
                <w:szCs w:val="24"/>
              </w:rPr>
            </w:pPr>
            <w:r>
              <w:rPr>
                <w:rFonts w:hint="eastAsia" w:ascii="Times New Roman" w:hAnsi="Times New Roman" w:eastAsia="宋体" w:cs="楷体_GB2312"/>
                <w:sz w:val="24"/>
                <w:szCs w:val="24"/>
              </w:rPr>
              <w:t>4</w:t>
            </w:r>
            <w:r>
              <w:rPr>
                <w:rFonts w:ascii="Times New Roman" w:hAnsi="Times New Roman" w:eastAsia="宋体" w:cs="楷体_GB2312"/>
                <w:sz w:val="24"/>
                <w:szCs w:val="24"/>
              </w:rPr>
              <w:t>.</w:t>
            </w:r>
            <w:r>
              <w:rPr>
                <w:rFonts w:hint="eastAsia" w:ascii="宋体" w:hAnsi="宋体" w:eastAsia="宋体" w:cs="楷体_GB2312"/>
                <w:sz w:val="24"/>
                <w:szCs w:val="24"/>
              </w:rPr>
              <w:t>具有试验用医疗器械的研制符合适用的医疗器械质量管理体系相关要求的声明</w:t>
            </w:r>
          </w:p>
        </w:tc>
        <w:tc>
          <w:tcPr>
            <w:tcW w:w="1843" w:type="dxa"/>
            <w:vAlign w:val="center"/>
          </w:tcPr>
          <w:p>
            <w:pPr>
              <w:pStyle w:val="10"/>
              <w:ind w:firstLine="0" w:firstLineChars="0"/>
              <w:rPr>
                <w:rFonts w:ascii="宋体" w:hAnsi="宋体" w:eastAsia="宋体"/>
                <w:sz w:val="24"/>
                <w:szCs w:val="24"/>
              </w:rPr>
            </w:pPr>
            <w:r>
              <w:rPr>
                <w:rFonts w:hint="eastAsia" w:ascii="宋体" w:hAnsi="宋体" w:eastAsia="宋体"/>
                <w:sz w:val="24"/>
                <w:szCs w:val="24"/>
              </w:rPr>
              <w:t>□是□否□</w:t>
            </w:r>
            <w:r>
              <w:rPr>
                <w:rFonts w:hint="eastAsia" w:ascii="Times New Roman" w:hAnsi="Times New Roman" w:eastAsia="宋体"/>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vAlign w:val="center"/>
          </w:tcPr>
          <w:p>
            <w:pPr>
              <w:rPr>
                <w:rFonts w:ascii="宋体" w:hAnsi="宋体"/>
                <w:color w:val="FF0000"/>
                <w:sz w:val="24"/>
              </w:rPr>
            </w:pPr>
            <w:bookmarkStart w:id="0" w:name="_Hlk49956610"/>
            <w:r>
              <w:rPr>
                <w:rFonts w:hint="eastAsia"/>
                <w:sz w:val="24"/>
              </w:rPr>
              <w:t>5</w:t>
            </w:r>
            <w:r>
              <w:rPr>
                <w:sz w:val="24"/>
              </w:rPr>
              <w:t>.</w:t>
            </w:r>
            <w:bookmarkEnd w:id="0"/>
            <w:r>
              <w:rPr>
                <w:rFonts w:hint="eastAsia" w:ascii="宋体" w:hAnsi="宋体"/>
                <w:sz w:val="24"/>
              </w:rPr>
              <w:t>试验用医疗器械有基于产品技术要求的产品检验报告</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vAlign w:val="center"/>
          </w:tcPr>
          <w:p>
            <w:pPr>
              <w:pStyle w:val="10"/>
              <w:ind w:firstLine="0" w:firstLineChars="0"/>
              <w:rPr>
                <w:rFonts w:ascii="宋体" w:hAnsi="宋体" w:eastAsia="宋体"/>
                <w:sz w:val="24"/>
                <w:szCs w:val="24"/>
              </w:rPr>
            </w:pPr>
            <w:r>
              <w:rPr>
                <w:rFonts w:hint="eastAsia" w:ascii="Times New Roman" w:hAnsi="Times New Roman" w:eastAsia="宋体"/>
                <w:sz w:val="24"/>
                <w:szCs w:val="24"/>
              </w:rPr>
              <w:t>6</w:t>
            </w:r>
            <w:r>
              <w:rPr>
                <w:rFonts w:ascii="Times New Roman" w:hAnsi="Times New Roman" w:eastAsia="宋体"/>
                <w:sz w:val="24"/>
                <w:szCs w:val="24"/>
              </w:rPr>
              <w:t>.</w:t>
            </w:r>
            <w:r>
              <w:rPr>
                <w:rFonts w:hint="eastAsia" w:ascii="宋体" w:hAnsi="宋体" w:eastAsia="宋体"/>
                <w:sz w:val="24"/>
                <w:szCs w:val="24"/>
              </w:rPr>
              <w:t>临床试验机构设施和条件与试验方案中要求的主要仪器设备及设施条件相适应</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vAlign w:val="center"/>
          </w:tcPr>
          <w:p>
            <w:pPr>
              <w:pStyle w:val="10"/>
              <w:ind w:firstLine="0" w:firstLineChars="0"/>
              <w:rPr>
                <w:rFonts w:ascii="宋体" w:hAnsi="宋体" w:eastAsia="宋体"/>
                <w:sz w:val="24"/>
                <w:szCs w:val="24"/>
              </w:rPr>
            </w:pPr>
            <w:r>
              <w:rPr>
                <w:rFonts w:hint="eastAsia" w:ascii="Times New Roman" w:hAnsi="Times New Roman" w:eastAsia="宋体"/>
                <w:sz w:val="24"/>
                <w:szCs w:val="24"/>
              </w:rPr>
              <w:t>7</w:t>
            </w:r>
            <w:r>
              <w:rPr>
                <w:rFonts w:ascii="Times New Roman" w:hAnsi="Times New Roman" w:eastAsia="宋体"/>
                <w:sz w:val="24"/>
                <w:szCs w:val="24"/>
              </w:rPr>
              <w:t>.</w:t>
            </w:r>
            <w:r>
              <w:rPr>
                <w:rFonts w:hint="eastAsia" w:ascii="宋体" w:hAnsi="宋体" w:eastAsia="宋体"/>
                <w:sz w:val="24"/>
                <w:szCs w:val="24"/>
              </w:rPr>
              <w:t>医疗机构临床实验室具有国家卫生健康部门认可的临床实验室的室间质评证书，且室间质评证书评价项目应包括试验相关的全部检验项目</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vAlign w:val="center"/>
          </w:tcPr>
          <w:p>
            <w:pPr>
              <w:pStyle w:val="10"/>
              <w:ind w:firstLine="0" w:firstLineChars="0"/>
              <w:rPr>
                <w:rFonts w:ascii="宋体" w:hAnsi="宋体"/>
                <w:sz w:val="24"/>
              </w:rPr>
            </w:pPr>
            <w:r>
              <w:rPr>
                <w:rFonts w:hint="eastAsia" w:ascii="Times New Roman" w:hAnsi="Times New Roman" w:eastAsia="宋体"/>
                <w:sz w:val="24"/>
                <w:szCs w:val="24"/>
              </w:rPr>
              <w:t>8</w:t>
            </w:r>
            <w:r>
              <w:rPr>
                <w:rFonts w:ascii="Times New Roman" w:hAnsi="Times New Roman" w:eastAsia="宋体"/>
                <w:sz w:val="24"/>
                <w:szCs w:val="24"/>
              </w:rPr>
              <w:t>.</w:t>
            </w:r>
            <w:r>
              <w:rPr>
                <w:rFonts w:hint="eastAsia" w:ascii="宋体" w:hAnsi="宋体" w:eastAsia="宋体"/>
                <w:sz w:val="24"/>
                <w:szCs w:val="24"/>
              </w:rPr>
              <w:t>具有试验相关仪器和设备维护、校准记录</w:t>
            </w:r>
            <w:r>
              <w:rPr>
                <w:rFonts w:ascii="宋体" w:hAnsi="宋体"/>
                <w:sz w:val="24"/>
              </w:rPr>
              <w:t xml:space="preserve"> </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66" w:type="dxa"/>
            <w:vAlign w:val="center"/>
          </w:tcPr>
          <w:p>
            <w:pPr>
              <w:pStyle w:val="10"/>
              <w:ind w:firstLine="0" w:firstLineChars="0"/>
              <w:rPr>
                <w:rFonts w:ascii="宋体" w:hAnsi="宋体" w:eastAsia="宋体"/>
                <w:sz w:val="24"/>
                <w:szCs w:val="24"/>
              </w:rPr>
            </w:pPr>
            <w:r>
              <w:rPr>
                <w:rFonts w:hint="eastAsia" w:ascii="Times New Roman" w:hAnsi="Times New Roman"/>
                <w:sz w:val="24"/>
              </w:rPr>
              <w:t>9</w:t>
            </w:r>
            <w:r>
              <w:rPr>
                <w:rFonts w:ascii="Times New Roman" w:hAnsi="Times New Roman"/>
                <w:sz w:val="24"/>
              </w:rPr>
              <w:t>.</w:t>
            </w:r>
            <w:r>
              <w:rPr>
                <w:rFonts w:hint="eastAsia" w:ascii="宋体" w:hAnsi="宋体" w:eastAsia="宋体"/>
                <w:sz w:val="24"/>
                <w:szCs w:val="24"/>
              </w:rPr>
              <w:t>研究者具有参加临床试验相应的资质（执业资格、注册证书、履历、药物/器械</w:t>
            </w:r>
            <w:r>
              <w:rPr>
                <w:rFonts w:hint="eastAsia" w:ascii="Times New Roman" w:hAnsi="Times New Roman" w:eastAsia="宋体"/>
                <w:sz w:val="24"/>
                <w:szCs w:val="24"/>
              </w:rPr>
              <w:t>GCP</w:t>
            </w:r>
            <w:r>
              <w:rPr>
                <w:rFonts w:hint="eastAsia" w:ascii="宋体" w:hAnsi="宋体" w:eastAsia="宋体"/>
                <w:sz w:val="24"/>
                <w:szCs w:val="24"/>
              </w:rPr>
              <w:t>培训证书等）</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vAlign w:val="center"/>
          </w:tcPr>
          <w:p>
            <w:pPr>
              <w:widowControl/>
              <w:jc w:val="left"/>
              <w:rPr>
                <w:rFonts w:ascii="宋体" w:hAnsi="宋体" w:cs="楷体_GB2312"/>
                <w:sz w:val="24"/>
              </w:rPr>
            </w:pPr>
            <w:r>
              <w:rPr>
                <w:rFonts w:hint="eastAsia"/>
                <w:sz w:val="24"/>
              </w:rPr>
              <w:t>10</w:t>
            </w:r>
            <w:r>
              <w:rPr>
                <w:sz w:val="24"/>
              </w:rPr>
              <w:t>.</w:t>
            </w:r>
            <w:r>
              <w:rPr>
                <w:rFonts w:hint="eastAsia" w:ascii="宋体" w:hAnsi="宋体"/>
                <w:sz w:val="24"/>
              </w:rPr>
              <w:t>研究者经过临床试验方案和试验用医疗器械使用和维护的培训，且培训日期不晚于临床试验开始日期</w:t>
            </w:r>
            <w:r>
              <w:rPr>
                <w:rFonts w:ascii="宋体" w:hAnsi="宋体" w:cs="楷体_GB2312"/>
                <w:sz w:val="24"/>
              </w:rPr>
              <w:t xml:space="preserve"> </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vAlign w:val="center"/>
          </w:tcPr>
          <w:p>
            <w:pPr>
              <w:widowControl/>
              <w:jc w:val="left"/>
              <w:rPr>
                <w:rFonts w:ascii="宋体" w:hAnsi="宋体"/>
                <w:sz w:val="24"/>
              </w:rPr>
            </w:pPr>
            <w:r>
              <w:rPr>
                <w:rFonts w:hint="eastAsia"/>
                <w:sz w:val="24"/>
              </w:rPr>
              <w:t>11.</w:t>
            </w:r>
            <w:r>
              <w:rPr>
                <w:rFonts w:hint="eastAsia" w:ascii="宋体" w:hAnsi="宋体"/>
                <w:sz w:val="24"/>
              </w:rPr>
              <w:t>对受试者的知情、入排、相关医学判断和处理均由具有执业资格的研究者执行并记录</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vAlign w:val="center"/>
          </w:tcPr>
          <w:p>
            <w:pPr>
              <w:widowControl/>
              <w:jc w:val="left"/>
              <w:rPr>
                <w:rFonts w:ascii="宋体" w:hAnsi="宋体" w:cs="楷体_GB2312"/>
                <w:sz w:val="24"/>
              </w:rPr>
            </w:pPr>
            <w:r>
              <w:rPr>
                <w:sz w:val="24"/>
              </w:rPr>
              <w:t>1</w:t>
            </w:r>
            <w:r>
              <w:rPr>
                <w:rFonts w:hint="eastAsia"/>
                <w:sz w:val="24"/>
              </w:rPr>
              <w:t>2</w:t>
            </w:r>
            <w:r>
              <w:rPr>
                <w:sz w:val="24"/>
              </w:rPr>
              <w:t>.</w:t>
            </w:r>
            <w:r>
              <w:rPr>
                <w:rFonts w:hint="eastAsia" w:ascii="宋体" w:hAnsi="宋体"/>
                <w:sz w:val="24"/>
              </w:rPr>
              <w:t>申办者/代理人、机构、主要研究者签订合同，约定各自责任义务与职责，合同具有申办者/代理人、机构、主要研究者签章</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b/>
                <w:bCs/>
                <w:sz w:val="28"/>
                <w:szCs w:val="28"/>
              </w:rPr>
            </w:pPr>
            <w:r>
              <w:rPr>
                <w:rFonts w:hint="eastAsia" w:ascii="宋体" w:hAnsi="宋体"/>
                <w:b/>
                <w:bCs/>
                <w:sz w:val="28"/>
                <w:szCs w:val="28"/>
              </w:rPr>
              <w:t>二、伦理审查与知情同意</w:t>
            </w:r>
          </w:p>
        </w:tc>
        <w:tc>
          <w:tcPr>
            <w:tcW w:w="1843"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b/>
                <w:bCs/>
                <w:sz w:val="28"/>
                <w:szCs w:val="28"/>
              </w:rPr>
              <w:t>1.</w:t>
            </w:r>
            <w:r>
              <w:rPr>
                <w:rFonts w:ascii="宋体" w:hAnsi="宋体"/>
                <w:color w:val="000000"/>
                <w:sz w:val="24"/>
              </w:rPr>
              <w:t xml:space="preserve"> </w:t>
            </w:r>
            <w:r>
              <w:rPr>
                <w:rFonts w:hint="eastAsia" w:ascii="宋体" w:hAnsi="宋体"/>
                <w:b/>
                <w:bCs/>
                <w:color w:val="000000"/>
                <w:sz w:val="24"/>
              </w:rPr>
              <w:t>伦理审查</w:t>
            </w:r>
          </w:p>
        </w:tc>
        <w:tc>
          <w:tcPr>
            <w:tcW w:w="1843"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color w:val="000000"/>
                <w:sz w:val="24"/>
              </w:rPr>
              <w:t>1.</w:t>
            </w:r>
            <w:r>
              <w:rPr>
                <w:rFonts w:hint="eastAsia"/>
                <w:color w:val="000000"/>
                <w:sz w:val="24"/>
              </w:rPr>
              <w:t>1</w:t>
            </w:r>
            <w:r>
              <w:rPr>
                <w:rFonts w:hint="eastAsia" w:ascii="宋体" w:hAnsi="宋体"/>
                <w:sz w:val="24"/>
              </w:rPr>
              <w:t>伦理委员会及遗传办（如适用）批准的所有版本的试验方案、知情同意书、招募广告等文件保存完整，且相关临床试验操作均按照对应时间段的最新版方案执行</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r>
              <w:rPr>
                <w:rFonts w:hint="eastAsia" w:ascii="宋体" w:hAnsi="宋体"/>
                <w:sz w:val="24"/>
              </w:rPr>
              <w:t>方案偏离、进展报告等情况及时向</w:t>
            </w:r>
            <w:r>
              <w:rPr>
                <w:rFonts w:hint="eastAsia"/>
                <w:sz w:val="24"/>
              </w:rPr>
              <w:t>GCP</w:t>
            </w:r>
            <w:r>
              <w:rPr>
                <w:rFonts w:hint="eastAsia" w:ascii="宋体" w:hAnsi="宋体"/>
                <w:sz w:val="24"/>
              </w:rPr>
              <w:t>和伦理委员会报告</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b/>
                <w:bCs/>
                <w:sz w:val="28"/>
                <w:szCs w:val="28"/>
              </w:rPr>
              <w:t>2.</w:t>
            </w:r>
            <w:r>
              <w:rPr>
                <w:rFonts w:hint="eastAsia" w:ascii="宋体" w:hAnsi="宋体"/>
                <w:b/>
                <w:bCs/>
                <w:sz w:val="28"/>
                <w:szCs w:val="28"/>
              </w:rPr>
              <w:t>知情同意</w:t>
            </w:r>
          </w:p>
        </w:tc>
        <w:tc>
          <w:tcPr>
            <w:tcW w:w="1843"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2.1</w:t>
            </w:r>
            <w:r>
              <w:rPr>
                <w:rFonts w:hint="eastAsia" w:ascii="宋体" w:hAnsi="宋体"/>
                <w:color w:val="000000"/>
                <w:sz w:val="24"/>
              </w:rPr>
              <w:t>研究者应当使用最新版的知情同意书；如受试者在试验过程中，知情同意书有更新，应当再次签署更新后的知情同意书</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2.2.</w:t>
            </w:r>
            <w:r>
              <w:rPr>
                <w:rFonts w:hint="eastAsia" w:ascii="宋体" w:hAnsi="宋体"/>
                <w:color w:val="000000"/>
                <w:sz w:val="24"/>
              </w:rPr>
              <w:t>知情同意书的签署应该符合伦理及</w:t>
            </w:r>
            <w:r>
              <w:rPr>
                <w:rFonts w:hint="eastAsia"/>
                <w:color w:val="000000"/>
                <w:sz w:val="24"/>
              </w:rPr>
              <w:t>GCP</w:t>
            </w:r>
            <w:r>
              <w:rPr>
                <w:rFonts w:hint="eastAsia" w:ascii="宋体" w:hAnsi="宋体"/>
                <w:color w:val="000000"/>
                <w:sz w:val="24"/>
              </w:rPr>
              <w:t>要求，</w:t>
            </w:r>
            <w:r>
              <w:rPr>
                <w:rFonts w:ascii="宋体" w:hAnsi="宋体"/>
                <w:color w:val="000000"/>
                <w:sz w:val="24"/>
              </w:rPr>
              <w:t>知情过程应当记录包括但不限于</w:t>
            </w:r>
            <w:r>
              <w:rPr>
                <w:rFonts w:hint="eastAsia" w:ascii="宋体" w:hAnsi="宋体"/>
                <w:color w:val="000000"/>
                <w:sz w:val="24"/>
              </w:rPr>
              <w:t>：</w:t>
            </w:r>
            <w:r>
              <w:rPr>
                <w:rFonts w:ascii="宋体" w:hAnsi="宋体"/>
                <w:color w:val="000000"/>
                <w:sz w:val="24"/>
              </w:rPr>
              <w:t>参加人员</w:t>
            </w:r>
            <w:r>
              <w:rPr>
                <w:rFonts w:hint="eastAsia" w:ascii="宋体" w:hAnsi="宋体"/>
                <w:color w:val="000000"/>
                <w:sz w:val="24"/>
              </w:rPr>
              <w:t>、知情同意开始时间、介绍的方案名称和版本信息、试验流程、干预措施、可能的获益和风险、试验期间的义务和补偿、受试者的提问以及回复内容、签署知情同意书的版本信息和具体时间点等（集体知情应同时记录集体宣讲开始和结束时间）</w:t>
            </w:r>
            <w:r>
              <w:rPr>
                <w:rFonts w:ascii="宋体" w:hAnsi="宋体"/>
                <w:color w:val="000000"/>
                <w:sz w:val="24"/>
              </w:rPr>
              <w:t xml:space="preserve"> </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2.3.</w:t>
            </w:r>
            <w:r>
              <w:rPr>
                <w:rFonts w:hint="eastAsia" w:ascii="宋体" w:hAnsi="宋体"/>
                <w:color w:val="000000"/>
                <w:sz w:val="24"/>
              </w:rPr>
              <w:t>已签署的知情同意书数量与原始筛查资料、筛选入选表、鉴认代码表中的数量一致</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66" w:type="dxa"/>
            <w:shd w:val="clear" w:color="auto" w:fill="auto"/>
            <w:vAlign w:val="center"/>
          </w:tcPr>
          <w:p>
            <w:pPr>
              <w:rPr>
                <w:rFonts w:ascii="宋体" w:hAnsi="宋体"/>
                <w:color w:val="000000"/>
                <w:sz w:val="24"/>
              </w:rPr>
            </w:pPr>
            <w:r>
              <w:rPr>
                <w:rFonts w:hint="eastAsia"/>
                <w:color w:val="000000"/>
                <w:sz w:val="24"/>
              </w:rPr>
              <w:t>2.4.</w:t>
            </w:r>
            <w:r>
              <w:rPr>
                <w:rFonts w:hint="eastAsia" w:ascii="宋体" w:hAnsi="宋体"/>
                <w:color w:val="000000"/>
                <w:sz w:val="24"/>
              </w:rPr>
              <w:t>知情同意书签署时间不早于伦理批准时间，筛选时间不得早于知情同意书签署时间</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66" w:type="dxa"/>
            <w:shd w:val="clear" w:color="auto" w:fill="auto"/>
          </w:tcPr>
          <w:p>
            <w:pPr>
              <w:rPr>
                <w:rFonts w:ascii="宋体" w:hAnsi="宋体"/>
                <w:color w:val="000000"/>
                <w:sz w:val="24"/>
              </w:rPr>
            </w:pPr>
            <w:r>
              <w:rPr>
                <w:rFonts w:hint="eastAsia"/>
                <w:color w:val="000000"/>
                <w:sz w:val="24"/>
              </w:rPr>
              <w:t>2.5.</w:t>
            </w:r>
            <w:r>
              <w:rPr>
                <w:rFonts w:hint="eastAsia" w:ascii="宋体" w:hAnsi="宋体"/>
                <w:color w:val="000000"/>
                <w:sz w:val="24"/>
              </w:rPr>
              <w:t>生物样本的采集（组织切片等）需获得伦理及遗传办（如适用）批准，且具有相关知情（</w:t>
            </w:r>
            <w:r>
              <w:rPr>
                <w:rFonts w:hint="eastAsia"/>
                <w:color w:val="000000"/>
                <w:sz w:val="24"/>
              </w:rPr>
              <w:t>ICF</w:t>
            </w:r>
            <w:r>
              <w:rPr>
                <w:rFonts w:hint="eastAsia" w:ascii="宋体" w:hAnsi="宋体"/>
                <w:color w:val="000000"/>
                <w:sz w:val="24"/>
              </w:rPr>
              <w:t>中包含相关采集内容）记录</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66" w:type="dxa"/>
            <w:shd w:val="clear" w:color="auto" w:fill="auto"/>
            <w:vAlign w:val="center"/>
          </w:tcPr>
          <w:p>
            <w:pPr>
              <w:rPr>
                <w:rFonts w:ascii="宋体" w:hAnsi="宋体"/>
                <w:color w:val="000000"/>
                <w:sz w:val="24"/>
              </w:rPr>
            </w:pPr>
            <w:r>
              <w:rPr>
                <w:rFonts w:hint="eastAsia"/>
                <w:color w:val="000000"/>
                <w:sz w:val="24"/>
              </w:rPr>
              <w:t>2.6.</w:t>
            </w:r>
            <w:r>
              <w:rPr>
                <w:rFonts w:hint="eastAsia" w:ascii="宋体" w:hAnsi="宋体"/>
                <w:color w:val="000000"/>
                <w:sz w:val="24"/>
              </w:rPr>
              <w:t>免于知情同意的情形需提供豁免知情说明以及豁免知情说明材料的伦理审查意见或批件</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66" w:type="dxa"/>
            <w:vAlign w:val="center"/>
          </w:tcPr>
          <w:p>
            <w:pPr>
              <w:rPr>
                <w:rFonts w:ascii="宋体" w:hAnsi="宋体"/>
                <w:b/>
                <w:bCs/>
                <w:sz w:val="28"/>
                <w:szCs w:val="28"/>
              </w:rPr>
            </w:pPr>
            <w:r>
              <w:rPr>
                <w:rFonts w:hint="eastAsia" w:ascii="宋体" w:hAnsi="宋体"/>
                <w:b/>
                <w:bCs/>
                <w:sz w:val="28"/>
                <w:szCs w:val="28"/>
              </w:rPr>
              <w:t>三、试验方案及相关文件</w:t>
            </w:r>
          </w:p>
        </w:tc>
        <w:tc>
          <w:tcPr>
            <w:tcW w:w="1843"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366" w:type="dxa"/>
            <w:vAlign w:val="center"/>
          </w:tcPr>
          <w:p>
            <w:pPr>
              <w:rPr>
                <w:rFonts w:ascii="宋体" w:hAnsi="宋体"/>
                <w:color w:val="000000"/>
                <w:sz w:val="24"/>
              </w:rPr>
            </w:pPr>
            <w:r>
              <w:rPr>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临床试验方案应具有申办者签章、主要研究者签字，以及临床试验机构公章</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366" w:type="dxa"/>
            <w:vAlign w:val="center"/>
          </w:tcPr>
          <w:p>
            <w:pPr>
              <w:rPr>
                <w:rFonts w:ascii="宋体" w:hAnsi="宋体"/>
                <w:color w:val="000000"/>
                <w:sz w:val="24"/>
              </w:rPr>
            </w:pPr>
            <w:r>
              <w:rPr>
                <w:rFonts w:cs="楷体_GB2312"/>
                <w:sz w:val="24"/>
              </w:rPr>
              <w:t>2.</w:t>
            </w:r>
            <w:r>
              <w:rPr>
                <w:rFonts w:hint="eastAsia" w:ascii="宋体" w:hAnsi="宋体"/>
                <w:color w:val="000000"/>
                <w:sz w:val="24"/>
              </w:rPr>
              <w:t>执行的临床试验方案内容与伦理审查的方案内容一致</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366" w:type="dxa"/>
            <w:vAlign w:val="center"/>
          </w:tcPr>
          <w:p>
            <w:pPr>
              <w:rPr>
                <w:rFonts w:ascii="宋体" w:hAnsi="宋体"/>
                <w:color w:val="000000"/>
                <w:sz w:val="24"/>
              </w:rPr>
            </w:pPr>
            <w:r>
              <w:rPr>
                <w:rFonts w:hint="eastAsia" w:cs="楷体_GB2312"/>
                <w:color w:val="000000" w:themeColor="text1"/>
                <w:sz w:val="24"/>
                <w14:textFill>
                  <w14:solidFill>
                    <w14:schemeClr w14:val="tx1"/>
                  </w14:solidFill>
                </w14:textFill>
              </w:rPr>
              <w:t>3</w:t>
            </w:r>
            <w:r>
              <w:rPr>
                <w:rFonts w:cs="楷体_GB2312"/>
                <w:color w:val="000000" w:themeColor="text1"/>
                <w:sz w:val="24"/>
                <w14:textFill>
                  <w14:solidFill>
                    <w14:schemeClr w14:val="tx1"/>
                  </w14:solidFill>
                </w14:textFill>
              </w:rPr>
              <w:t>.</w:t>
            </w:r>
            <w:r>
              <w:rPr>
                <w:rFonts w:hint="eastAsia" w:ascii="宋体" w:hAnsi="宋体"/>
                <w:color w:val="000000"/>
                <w:sz w:val="24"/>
              </w:rPr>
              <w:t>多中心临床试验各中心执行的方案为同一版本</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ascii="宋体" w:hAnsi="宋体"/>
                <w:b/>
                <w:bCs/>
                <w:sz w:val="28"/>
                <w:szCs w:val="28"/>
              </w:rPr>
              <w:t>四、临床试验过程</w:t>
            </w:r>
          </w:p>
        </w:tc>
        <w:tc>
          <w:tcPr>
            <w:tcW w:w="1843"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1</w:t>
            </w:r>
            <w:r>
              <w:rPr>
                <w:color w:val="000000"/>
                <w:sz w:val="24"/>
              </w:rPr>
              <w:t>.</w:t>
            </w:r>
            <w:r>
              <w:rPr>
                <w:rFonts w:hint="eastAsia" w:ascii="宋体" w:hAnsi="宋体"/>
                <w:color w:val="000000"/>
                <w:sz w:val="24"/>
              </w:rPr>
              <w:t>临床试验相关人员具有参与临床试验的资质（授权分工表及培训记录，医护人员应具有相关资格证书），试验用器械操作应有明确的培训记录</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2</w:t>
            </w:r>
            <w:r>
              <w:rPr>
                <w:color w:val="000000"/>
                <w:sz w:val="24"/>
              </w:rPr>
              <w:t>.</w:t>
            </w:r>
            <w:r>
              <w:rPr>
                <w:rFonts w:hint="eastAsia" w:ascii="宋体" w:hAnsi="宋体"/>
                <w:color w:val="000000"/>
                <w:sz w:val="24"/>
              </w:rPr>
              <w:t>授权分工表和研究者培训记录、签名样张完整，进行试验操作前应完成相关培训和授权，试验结束后应及时终止授权，授权工作范围合理，原始记录均由授权的研究人员签字</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3</w:t>
            </w:r>
            <w:r>
              <w:rPr>
                <w:color w:val="000000"/>
                <w:sz w:val="24"/>
              </w:rPr>
              <w:t>.</w:t>
            </w:r>
            <w:r>
              <w:rPr>
                <w:rFonts w:hint="eastAsia" w:ascii="宋体" w:hAnsi="宋体"/>
                <w:color w:val="000000"/>
                <w:sz w:val="24"/>
              </w:rPr>
              <w:t>受试者筛选，入选、随机、设盲等应符合临床试验方案要求，并留存所有支持性证据</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4.</w:t>
            </w:r>
            <w:r>
              <w:rPr>
                <w:rFonts w:hint="eastAsia" w:ascii="宋体" w:hAnsi="宋体"/>
                <w:color w:val="000000"/>
                <w:sz w:val="24"/>
              </w:rPr>
              <w:t>筛选入选表中受试者的筛选编号、筛选日期、筛选结果、筛选失败原因、完成/退出、失访原因与原始病历记录一致</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5</w:t>
            </w:r>
            <w:r>
              <w:rPr>
                <w:color w:val="000000"/>
                <w:sz w:val="24"/>
              </w:rPr>
              <w:t>.</w:t>
            </w:r>
            <w:r>
              <w:rPr>
                <w:rFonts w:hint="eastAsia" w:ascii="宋体" w:hAnsi="宋体"/>
                <w:color w:val="000000"/>
                <w:sz w:val="24"/>
              </w:rPr>
              <w:t>受试者鉴认代码表应当涵盖受试者</w:t>
            </w:r>
            <w:r>
              <w:rPr>
                <w:rFonts w:hint="eastAsia" w:ascii="宋体" w:hAnsi="宋体" w:cs="楷体_GB2312"/>
                <w:sz w:val="24"/>
              </w:rPr>
              <w:t>筛选号、</w:t>
            </w:r>
            <w:r>
              <w:rPr>
                <w:rFonts w:hint="eastAsia" w:ascii="宋体" w:hAnsi="宋体"/>
                <w:color w:val="000000"/>
                <w:sz w:val="24"/>
              </w:rPr>
              <w:t>身份证号、姓名、联系方式等身份鉴认信息</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6</w:t>
            </w:r>
            <w:r>
              <w:rPr>
                <w:color w:val="000000"/>
                <w:sz w:val="24"/>
              </w:rPr>
              <w:t>.</w:t>
            </w:r>
            <w:r>
              <w:rPr>
                <w:rFonts w:hint="eastAsia" w:ascii="宋体" w:hAnsi="宋体"/>
                <w:color w:val="000000"/>
                <w:sz w:val="24"/>
              </w:rPr>
              <w:t>受试者入选、随机程序符合临床试验方案要求</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7</w:t>
            </w:r>
            <w:r>
              <w:rPr>
                <w:color w:val="000000"/>
                <w:sz w:val="24"/>
              </w:rPr>
              <w:t>.</w:t>
            </w:r>
            <w:r>
              <w:rPr>
                <w:rFonts w:hint="eastAsia" w:ascii="宋体" w:hAnsi="宋体"/>
                <w:color w:val="000000"/>
                <w:sz w:val="24"/>
              </w:rPr>
              <w:t>受试者体检、实验室等各项辅助检查项目与试验方案一致，对偏离方案的检查进行记录</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8</w:t>
            </w:r>
            <w:r>
              <w:rPr>
                <w:color w:val="000000"/>
                <w:sz w:val="24"/>
              </w:rPr>
              <w:t>.</w:t>
            </w:r>
            <w:r>
              <w:rPr>
                <w:rFonts w:hint="eastAsia" w:ascii="宋体" w:hAnsi="宋体"/>
                <w:color w:val="000000"/>
                <w:sz w:val="24"/>
              </w:rPr>
              <w:t>入组受试者应符合试验方案的全部入选标准，不符合全部排除标准（根据病史、用药史、实验室检查、诊断等）</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9</w:t>
            </w:r>
            <w:r>
              <w:rPr>
                <w:color w:val="000000"/>
                <w:sz w:val="24"/>
              </w:rPr>
              <w:t>.</w:t>
            </w:r>
            <w:r>
              <w:rPr>
                <w:rFonts w:hint="eastAsia" w:ascii="宋体" w:hAnsi="宋体"/>
                <w:color w:val="000000" w:themeColor="text1"/>
                <w:sz w:val="24"/>
                <w14:textFill>
                  <w14:solidFill>
                    <w14:schemeClr w14:val="tx1"/>
                  </w14:solidFill>
                </w14:textFill>
              </w:rPr>
              <w:t>生物样本采集、处理、保存、转运等过程应符合试验方案、实验室手册、遗传办批件（如适用）等文件要求</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10</w:t>
            </w:r>
            <w:r>
              <w:rPr>
                <w:color w:val="000000"/>
                <w:sz w:val="24"/>
              </w:rPr>
              <w:t>.</w:t>
            </w:r>
            <w:r>
              <w:rPr>
                <w:rFonts w:hint="eastAsia" w:ascii="宋体" w:hAnsi="宋体"/>
                <w:color w:val="000000"/>
                <w:sz w:val="24"/>
              </w:rPr>
              <w:t>方案偏离，应以书面报告形式及时提交给申办者、伦理委员会和临床试验机构办公室</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11</w:t>
            </w:r>
            <w:r>
              <w:rPr>
                <w:color w:val="000000"/>
                <w:sz w:val="24"/>
              </w:rPr>
              <w:t>.</w:t>
            </w:r>
            <w:r>
              <w:rPr>
                <w:rFonts w:hint="eastAsia" w:ascii="宋体" w:hAnsi="宋体"/>
                <w:color w:val="000000"/>
                <w:sz w:val="24"/>
              </w:rPr>
              <w:t>原始病历中的安全性、有效性评价方法应按照临床试验方案要求执行</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12</w:t>
            </w:r>
            <w:r>
              <w:rPr>
                <w:color w:val="000000"/>
                <w:sz w:val="24"/>
              </w:rPr>
              <w:t>.</w:t>
            </w:r>
            <w:r>
              <w:rPr>
                <w:rFonts w:hint="eastAsia" w:ascii="宋体" w:hAnsi="宋体"/>
                <w:color w:val="000000"/>
                <w:sz w:val="24"/>
              </w:rPr>
              <w:t>研究者应对检查、检验报告中的异常值进行判定（是否具有临床意义，是否与器械/器械缺陷相关、是否记录</w:t>
            </w:r>
            <w:r>
              <w:rPr>
                <w:rFonts w:hint="eastAsia"/>
                <w:color w:val="000000"/>
                <w:sz w:val="24"/>
              </w:rPr>
              <w:t>AE</w:t>
            </w:r>
            <w:r>
              <w:rPr>
                <w:rFonts w:hint="eastAsia" w:ascii="宋体" w:hAnsi="宋体"/>
                <w:color w:val="000000"/>
                <w:sz w:val="24"/>
              </w:rPr>
              <w:t>等），</w:t>
            </w:r>
            <w:r>
              <w:rPr>
                <w:rFonts w:hint="eastAsia"/>
                <w:color w:val="000000"/>
                <w:sz w:val="24"/>
              </w:rPr>
              <w:t>AE</w:t>
            </w:r>
            <w:r>
              <w:rPr>
                <w:rFonts w:hint="eastAsia" w:ascii="宋体" w:hAnsi="宋体"/>
                <w:color w:val="000000"/>
                <w:sz w:val="24"/>
              </w:rPr>
              <w:t>的记录符合方案要求，并给予及时、合理处理</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13</w:t>
            </w:r>
            <w:r>
              <w:rPr>
                <w:color w:val="000000"/>
                <w:sz w:val="24"/>
              </w:rPr>
              <w:t>.</w:t>
            </w:r>
            <w:r>
              <w:rPr>
                <w:rFonts w:hint="eastAsia" w:ascii="宋体" w:hAnsi="宋体"/>
                <w:color w:val="000000"/>
                <w:sz w:val="24"/>
              </w:rPr>
              <w:t>合并使用药品记录表、医疗器械使用情况记录表内容应与方案要求一致</w:t>
            </w:r>
          </w:p>
        </w:tc>
        <w:tc>
          <w:tcPr>
            <w:tcW w:w="1843" w:type="dxa"/>
            <w:vAlign w:val="center"/>
          </w:tcPr>
          <w:p>
            <w:pPr>
              <w:jc w:val="left"/>
              <w:rPr>
                <w:rFonts w:ascii="宋体" w:hAnsi="宋体"/>
                <w:sz w:val="24"/>
              </w:rPr>
            </w:pPr>
            <w:r>
              <w:rPr>
                <w:rFonts w:hint="eastAsia" w:ascii="宋体" w:hAnsi="宋体"/>
                <w:sz w:val="24"/>
              </w:rPr>
              <w:t>□是□否</w:t>
            </w:r>
            <w:r>
              <w:rPr>
                <w:rFonts w:hint="eastAsia" w:ascii="宋体" w:hAnsi="宋体"/>
                <w:sz w:val="24"/>
              </w:rPr>
              <w:sym w:font="Wingdings 2" w:char="00A3"/>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14</w:t>
            </w:r>
            <w:r>
              <w:rPr>
                <w:color w:val="000000"/>
                <w:sz w:val="24"/>
              </w:rPr>
              <w:t>.</w:t>
            </w:r>
            <w:r>
              <w:rPr>
                <w:rFonts w:hint="eastAsia" w:ascii="宋体" w:hAnsi="宋体"/>
                <w:color w:val="000000"/>
                <w:sz w:val="24"/>
              </w:rPr>
              <w:t>发生严重不良事件者，研究者应在</w:t>
            </w:r>
            <w:r>
              <w:rPr>
                <w:rFonts w:hint="eastAsia"/>
                <w:color w:val="000000"/>
                <w:sz w:val="24"/>
              </w:rPr>
              <w:t>24</w:t>
            </w:r>
            <w:r>
              <w:rPr>
                <w:rFonts w:hint="eastAsia" w:ascii="宋体" w:hAnsi="宋体"/>
                <w:color w:val="000000"/>
                <w:sz w:val="24"/>
              </w:rPr>
              <w:t>小时内报告给申办者、伦理委员会以及医疗器械临床试验机构管理部门，器械缺陷应报医疗器械临床试验机构管理部门和伦理委员会审查</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15</w:t>
            </w:r>
            <w:r>
              <w:rPr>
                <w:color w:val="000000"/>
                <w:sz w:val="24"/>
              </w:rPr>
              <w:t>.</w:t>
            </w:r>
            <w:r>
              <w:rPr>
                <w:rFonts w:hint="eastAsia" w:ascii="宋体" w:hAnsi="宋体"/>
                <w:color w:val="000000"/>
                <w:sz w:val="24"/>
              </w:rPr>
              <w:t>暂停或者终止临床试验时，受试者应得到适当治疗和随访</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16</w:t>
            </w:r>
            <w:r>
              <w:rPr>
                <w:color w:val="000000"/>
                <w:sz w:val="24"/>
              </w:rPr>
              <w:t>.</w:t>
            </w:r>
            <w:r>
              <w:rPr>
                <w:rFonts w:hint="eastAsia" w:ascii="宋体" w:hAnsi="宋体"/>
                <w:color w:val="000000" w:themeColor="text1"/>
                <w:sz w:val="24"/>
                <w14:textFill>
                  <w14:solidFill>
                    <w14:schemeClr w14:val="tx1"/>
                  </w14:solidFill>
                </w14:textFill>
              </w:rPr>
              <w:t>盲法试验（如涉及）应当按照试验方案的要求设盲、保持盲态和实施揭盲，并保存相关记录（包括但不限于揭盲</w:t>
            </w:r>
            <w:r>
              <w:rPr>
                <w:rFonts w:hint="eastAsia"/>
                <w:color w:val="000000" w:themeColor="text1"/>
                <w:sz w:val="24"/>
                <w14:textFill>
                  <w14:solidFill>
                    <w14:schemeClr w14:val="tx1"/>
                  </w14:solidFill>
                </w14:textFill>
              </w:rPr>
              <w:t>SOP</w:t>
            </w:r>
            <w:r>
              <w:rPr>
                <w:rFonts w:hint="eastAsia" w:ascii="宋体" w:hAnsi="宋体"/>
                <w:color w:val="000000" w:themeColor="text1"/>
                <w:sz w:val="24"/>
                <w14:textFill>
                  <w14:solidFill>
                    <w14:schemeClr w14:val="tx1"/>
                  </w14:solidFill>
                </w14:textFill>
              </w:rPr>
              <w:t>文件、揭盲操作记录等）;意外破盲或因严重不良事件（</w:t>
            </w:r>
            <w:r>
              <w:rPr>
                <w:rFonts w:hint="eastAsia"/>
                <w:color w:val="000000" w:themeColor="text1"/>
                <w:sz w:val="24"/>
                <w14:textFill>
                  <w14:solidFill>
                    <w14:schemeClr w14:val="tx1"/>
                  </w14:solidFill>
                </w14:textFill>
              </w:rPr>
              <w:t>SAE</w:t>
            </w:r>
            <w:r>
              <w:rPr>
                <w:rFonts w:hint="eastAsia" w:ascii="宋体" w:hAnsi="宋体"/>
                <w:color w:val="000000" w:themeColor="text1"/>
                <w:sz w:val="24"/>
                <w14:textFill>
                  <w14:solidFill>
                    <w14:schemeClr w14:val="tx1"/>
                  </w14:solidFill>
                </w14:textFill>
              </w:rPr>
              <w:t>）需紧急揭盲应书面说明原因，并及时报告机构与伦理办公室</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17</w:t>
            </w:r>
            <w:r>
              <w:rPr>
                <w:color w:val="000000"/>
                <w:sz w:val="24"/>
              </w:rPr>
              <w:t>.</w:t>
            </w:r>
            <w:r>
              <w:rPr>
                <w:rFonts w:hint="eastAsia" w:ascii="宋体" w:hAnsi="宋体"/>
                <w:color w:val="000000"/>
                <w:sz w:val="24"/>
              </w:rPr>
              <w:t>应具有监查记录，研究人员是否对监查发现的问题及时采取改正措施</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b/>
                <w:bCs/>
                <w:sz w:val="28"/>
                <w:szCs w:val="28"/>
              </w:rPr>
            </w:pPr>
            <w:r>
              <w:rPr>
                <w:rFonts w:hint="eastAsia" w:ascii="宋体" w:hAnsi="宋体"/>
                <w:b/>
                <w:bCs/>
                <w:sz w:val="28"/>
                <w:szCs w:val="28"/>
              </w:rPr>
              <w:t>五、临床试验记录</w:t>
            </w:r>
          </w:p>
        </w:tc>
        <w:tc>
          <w:tcPr>
            <w:tcW w:w="1843"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b/>
                <w:bCs/>
                <w:sz w:val="28"/>
                <w:szCs w:val="28"/>
              </w:rPr>
            </w:pPr>
            <w:r>
              <w:rPr>
                <w:rFonts w:cs="楷体_GB2312"/>
                <w:sz w:val="24"/>
              </w:rPr>
              <w:t>1.</w:t>
            </w:r>
            <w:r>
              <w:rPr>
                <w:rFonts w:hint="eastAsia" w:ascii="宋体" w:hAnsi="宋体" w:cs="楷体_GB2312"/>
                <w:sz w:val="24"/>
              </w:rPr>
              <w:t>原始病历记录应准确、完整、清晰、及时；</w:t>
            </w:r>
            <w:r>
              <w:rPr>
                <w:rFonts w:hint="eastAsia" w:ascii="宋体" w:hAnsi="宋体"/>
                <w:color w:val="000000"/>
                <w:sz w:val="24"/>
              </w:rPr>
              <w:t>相关医疗记录应当载入门诊或住院病历系统</w:t>
            </w:r>
          </w:p>
        </w:tc>
        <w:tc>
          <w:tcPr>
            <w:tcW w:w="1843" w:type="dxa"/>
            <w:vAlign w:val="center"/>
          </w:tcPr>
          <w:p>
            <w:pPr>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color w:val="000000"/>
                <w:sz w:val="24"/>
              </w:rPr>
              <w:t>2</w:t>
            </w:r>
            <w:r>
              <w:rPr>
                <w:rFonts w:hint="eastAsia"/>
                <w:color w:val="000000"/>
                <w:sz w:val="24"/>
              </w:rPr>
              <w:t>.</w:t>
            </w:r>
            <w:r>
              <w:rPr>
                <w:rFonts w:hint="eastAsia" w:ascii="宋体" w:hAnsi="宋体"/>
                <w:color w:val="000000"/>
                <w:sz w:val="24"/>
              </w:rPr>
              <w:t>源数据修改应当留痕，不能掩盖初始数据，保留修改轨迹，并注明修改理由后由修改者签名签日期</w:t>
            </w:r>
          </w:p>
        </w:tc>
        <w:tc>
          <w:tcPr>
            <w:tcW w:w="1843" w:type="dxa"/>
            <w:vAlign w:val="center"/>
          </w:tcPr>
          <w:p>
            <w:pPr>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s="楷体_GB2312"/>
                <w:sz w:val="24"/>
              </w:rPr>
            </w:pPr>
            <w:r>
              <w:rPr>
                <w:rFonts w:cs="楷体_GB2312"/>
                <w:sz w:val="24"/>
              </w:rPr>
              <w:t>3.</w:t>
            </w:r>
            <w:r>
              <w:rPr>
                <w:rFonts w:hint="eastAsia" w:ascii="宋体" w:hAnsi="宋体" w:cs="楷体_GB2312"/>
                <w:sz w:val="24"/>
              </w:rPr>
              <w:t>检验科、影像科、心电室、内镜室等检查结果可溯源，并与原始病历数据一致</w:t>
            </w:r>
          </w:p>
        </w:tc>
        <w:tc>
          <w:tcPr>
            <w:tcW w:w="1843" w:type="dxa"/>
            <w:vAlign w:val="center"/>
          </w:tcPr>
          <w:p>
            <w:pPr>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s="楷体_GB2312"/>
                <w:sz w:val="24"/>
              </w:rPr>
            </w:pPr>
            <w:r>
              <w:rPr>
                <w:rFonts w:hint="eastAsia" w:cs="楷体_GB2312"/>
                <w:sz w:val="24"/>
              </w:rPr>
              <w:t>4</w:t>
            </w:r>
            <w:r>
              <w:rPr>
                <w:rFonts w:cs="楷体_GB2312"/>
                <w:sz w:val="24"/>
              </w:rPr>
              <w:t>.</w:t>
            </w:r>
            <w:r>
              <w:rPr>
                <w:rFonts w:ascii="宋体" w:hAnsi="宋体" w:cs="楷体_GB2312"/>
                <w:sz w:val="24"/>
              </w:rPr>
              <w:t>所有试验相关</w:t>
            </w:r>
            <w:r>
              <w:rPr>
                <w:rFonts w:hint="eastAsia" w:ascii="宋体" w:hAnsi="宋体" w:cs="楷体_GB2312"/>
                <w:sz w:val="24"/>
              </w:rPr>
              <w:t>纸质记录应有受控标志，有版本号、日期以及页码</w:t>
            </w:r>
          </w:p>
        </w:tc>
        <w:tc>
          <w:tcPr>
            <w:tcW w:w="1843" w:type="dxa"/>
            <w:vAlign w:val="center"/>
          </w:tcPr>
          <w:p>
            <w:pPr>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s="楷体_GB2312"/>
                <w:sz w:val="24"/>
              </w:rPr>
            </w:pPr>
            <w:r>
              <w:rPr>
                <w:rFonts w:hint="eastAsia"/>
                <w:color w:val="000000"/>
                <w:sz w:val="24"/>
              </w:rPr>
              <w:t>5.</w:t>
            </w:r>
            <w:r>
              <w:rPr>
                <w:rFonts w:hint="eastAsia" w:ascii="宋体" w:hAnsi="宋体"/>
                <w:color w:val="000000"/>
                <w:sz w:val="24"/>
              </w:rPr>
              <w:t>外部数据应确保数据可溯源</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6.</w:t>
            </w:r>
            <w:r>
              <w:rPr>
                <w:rFonts w:hint="eastAsia" w:ascii="宋体" w:hAnsi="宋体"/>
                <w:color w:val="000000"/>
                <w:sz w:val="24"/>
              </w:rPr>
              <w:t>与主要、次要疗效指标相关的原始数据保存完整（靶病灶评估需保存相关测量数据图），</w:t>
            </w:r>
            <w:r>
              <w:rPr>
                <w:rFonts w:ascii="宋体" w:hAnsi="宋体"/>
                <w:color w:val="000000"/>
                <w:sz w:val="24"/>
              </w:rPr>
              <w:t>相关影像学数据需进行刻盘保存</w:t>
            </w:r>
          </w:p>
        </w:tc>
        <w:tc>
          <w:tcPr>
            <w:tcW w:w="1843" w:type="dxa"/>
            <w:vAlign w:val="center"/>
          </w:tcPr>
          <w:p>
            <w:pPr>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b/>
                <w:bCs/>
                <w:sz w:val="28"/>
                <w:szCs w:val="28"/>
              </w:rPr>
            </w:pPr>
            <w:r>
              <w:rPr>
                <w:rFonts w:hint="eastAsia"/>
                <w:color w:val="000000"/>
                <w:sz w:val="24"/>
              </w:rPr>
              <w:t>7.</w:t>
            </w:r>
            <w:r>
              <w:rPr>
                <w:rFonts w:hint="eastAsia" w:ascii="宋体" w:hAnsi="宋体"/>
                <w:color w:val="000000"/>
                <w:sz w:val="24"/>
              </w:rPr>
              <w:t>数据库锁定、锁定后的解锁和再锁定应当事先规定并详细说明其条件和流程，锁定后的解锁应符合规定流程并</w:t>
            </w:r>
            <w:r>
              <w:rPr>
                <w:rFonts w:ascii="宋体" w:hAnsi="宋体"/>
                <w:color w:val="000000"/>
                <w:sz w:val="24"/>
              </w:rPr>
              <w:t>保留相关记录</w:t>
            </w:r>
          </w:p>
        </w:tc>
        <w:tc>
          <w:tcPr>
            <w:tcW w:w="1843" w:type="dxa"/>
            <w:vAlign w:val="center"/>
          </w:tcPr>
          <w:p>
            <w:pPr>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b/>
                <w:bCs/>
                <w:sz w:val="28"/>
                <w:szCs w:val="28"/>
              </w:rPr>
            </w:pPr>
            <w:r>
              <w:rPr>
                <w:rFonts w:hint="eastAsia" w:ascii="宋体" w:hAnsi="宋体"/>
                <w:b/>
                <w:bCs/>
                <w:sz w:val="28"/>
                <w:szCs w:val="28"/>
              </w:rPr>
              <w:t>六、试验用医疗器械管理</w:t>
            </w:r>
          </w:p>
        </w:tc>
        <w:tc>
          <w:tcPr>
            <w:tcW w:w="1843"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1</w:t>
            </w:r>
            <w:r>
              <w:rPr>
                <w:color w:val="000000"/>
                <w:sz w:val="24"/>
              </w:rPr>
              <w:t>.</w:t>
            </w:r>
            <w:r>
              <w:rPr>
                <w:rFonts w:hint="eastAsia" w:ascii="宋体" w:hAnsi="宋体" w:cs="楷体_GB2312"/>
                <w:sz w:val="24"/>
              </w:rPr>
              <w:t>试验用医疗器械</w:t>
            </w:r>
            <w:r>
              <w:rPr>
                <w:rFonts w:hint="eastAsia" w:ascii="宋体" w:hAnsi="宋体"/>
                <w:sz w:val="24"/>
              </w:rPr>
              <w:t>运输记录应包含运输温湿度记录、运输所用温湿度仪校准证书、器械交接清单、物流单，</w:t>
            </w:r>
            <w:r>
              <w:rPr>
                <w:rFonts w:hint="eastAsia" w:ascii="宋体" w:hAnsi="宋体"/>
                <w:color w:val="000000"/>
                <w:sz w:val="24"/>
              </w:rPr>
              <w:t>运输条件应符合方案要求</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color w:val="000000"/>
                <w:sz w:val="24"/>
              </w:rPr>
              <w:t>2.</w:t>
            </w:r>
            <w:r>
              <w:rPr>
                <w:rFonts w:hint="eastAsia" w:ascii="宋体" w:hAnsi="宋体"/>
                <w:color w:val="000000"/>
                <w:sz w:val="24"/>
              </w:rPr>
              <w:t>试验用医疗器械交接单应当有名称、型号、规格、接收日期、生产日期、产品批号、序列号、数量、交接日期、交接人</w:t>
            </w:r>
            <w:r>
              <w:rPr>
                <w:rFonts w:ascii="宋体" w:hAnsi="宋体"/>
                <w:color w:val="000000"/>
                <w:sz w:val="24"/>
              </w:rPr>
              <w:t>/</w:t>
            </w:r>
            <w:r>
              <w:rPr>
                <w:rFonts w:hint="eastAsia" w:ascii="宋体" w:hAnsi="宋体"/>
                <w:color w:val="000000"/>
                <w:sz w:val="24"/>
              </w:rPr>
              <w:t>接收人签名等信息，应确认器械外包装完好</w:t>
            </w:r>
          </w:p>
        </w:tc>
        <w:tc>
          <w:tcPr>
            <w:tcW w:w="1843" w:type="dxa"/>
            <w:vAlign w:val="center"/>
          </w:tcPr>
          <w:p>
            <w:pPr>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color w:val="000000"/>
                <w:sz w:val="24"/>
              </w:rPr>
              <w:t>3.</w:t>
            </w:r>
            <w:r>
              <w:rPr>
                <w:rFonts w:hint="eastAsia" w:ascii="宋体" w:hAnsi="宋体" w:cs="楷体_GB2312"/>
                <w:sz w:val="24"/>
              </w:rPr>
              <w:t>试验用医疗器械出入库记录应包含</w:t>
            </w:r>
            <w:r>
              <w:rPr>
                <w:rFonts w:hint="eastAsia" w:ascii="宋体" w:hAnsi="宋体"/>
                <w:color w:val="000000"/>
                <w:sz w:val="24"/>
              </w:rPr>
              <w:t>名称、型号、规格、生产日期、灭菌有效期、产品批号、序列号、库存量、</w:t>
            </w:r>
            <w:r>
              <w:rPr>
                <w:rFonts w:hint="eastAsia" w:ascii="宋体" w:hAnsi="宋体" w:cs="楷体_GB2312"/>
                <w:sz w:val="24"/>
              </w:rPr>
              <w:t>存储条件（温度、湿度）、存放器械的位置、出入库时间、交接人员签名等信息</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sz w:val="24"/>
              </w:rPr>
              <w:t>4.</w:t>
            </w:r>
            <w:r>
              <w:rPr>
                <w:rFonts w:hint="eastAsia" w:ascii="宋体" w:hAnsi="宋体" w:cs="楷体_GB2312"/>
                <w:sz w:val="24"/>
              </w:rPr>
              <w:t>试验用医疗器械发放回收记录应包含</w:t>
            </w:r>
            <w:r>
              <w:rPr>
                <w:rFonts w:hint="eastAsia" w:ascii="宋体" w:hAnsi="宋体"/>
                <w:color w:val="000000"/>
                <w:sz w:val="24"/>
              </w:rPr>
              <w:t>名称、型号、规格、产品批号、序列号、数量、发放回收日期、</w:t>
            </w:r>
            <w:r>
              <w:rPr>
                <w:rFonts w:hint="eastAsia" w:ascii="宋体" w:hAnsi="宋体" w:cs="楷体_GB2312"/>
                <w:sz w:val="24"/>
              </w:rPr>
              <w:t>发放回收人员签名等信息，数量不一致的应记录原因</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sz w:val="24"/>
              </w:rPr>
            </w:pPr>
            <w:r>
              <w:rPr>
                <w:rFonts w:hint="eastAsia"/>
                <w:color w:val="000000"/>
                <w:sz w:val="24"/>
              </w:rPr>
              <w:t>5</w:t>
            </w:r>
            <w:r>
              <w:rPr>
                <w:color w:val="000000"/>
                <w:sz w:val="24"/>
              </w:rPr>
              <w:t>.</w:t>
            </w:r>
            <w:r>
              <w:rPr>
                <w:rFonts w:hint="eastAsia" w:ascii="宋体" w:hAnsi="宋体"/>
                <w:sz w:val="24"/>
              </w:rPr>
              <w:t>器械在院内灭菌应保存完整记录，且记录完成灭菌的器械数量、规格、批号等信息</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sz w:val="24"/>
              </w:rPr>
            </w:pPr>
            <w:r>
              <w:rPr>
                <w:rFonts w:hint="eastAsia"/>
                <w:color w:val="000000"/>
                <w:sz w:val="24"/>
              </w:rPr>
              <w:t>6</w:t>
            </w:r>
            <w:r>
              <w:rPr>
                <w:color w:val="000000"/>
                <w:sz w:val="24"/>
              </w:rPr>
              <w:t>.</w:t>
            </w:r>
            <w:r>
              <w:rPr>
                <w:rFonts w:hint="eastAsia" w:ascii="宋体" w:hAnsi="宋体" w:cs="楷体_GB2312"/>
                <w:sz w:val="24"/>
              </w:rPr>
              <w:t>试验用医疗器械使用记录应包含试验用名称、规格型号、序列号、使用方法</w:t>
            </w:r>
            <w:r>
              <w:rPr>
                <w:rFonts w:ascii="宋体" w:hAnsi="宋体" w:cs="楷体_GB2312"/>
                <w:sz w:val="24"/>
              </w:rPr>
              <w:t>(</w:t>
            </w:r>
            <w:r>
              <w:rPr>
                <w:rFonts w:hint="eastAsia" w:ascii="宋体" w:hAnsi="宋体" w:cs="楷体_GB2312"/>
                <w:sz w:val="24"/>
              </w:rPr>
              <w:t>如日期、时间、状态等</w:t>
            </w:r>
            <w:r>
              <w:rPr>
                <w:rFonts w:ascii="宋体" w:hAnsi="宋体" w:cs="楷体_GB2312"/>
                <w:sz w:val="24"/>
              </w:rPr>
              <w:t>)</w:t>
            </w:r>
            <w:r>
              <w:rPr>
                <w:rFonts w:hint="eastAsia" w:ascii="宋体" w:hAnsi="宋体" w:cs="楷体_GB2312"/>
                <w:sz w:val="24"/>
              </w:rPr>
              <w:t>、使用人签名等信息</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sz w:val="24"/>
              </w:rPr>
            </w:pPr>
            <w:r>
              <w:rPr>
                <w:rFonts w:hint="eastAsia"/>
                <w:color w:val="000000"/>
                <w:sz w:val="24"/>
              </w:rPr>
              <w:t>7</w:t>
            </w:r>
            <w:r>
              <w:rPr>
                <w:color w:val="000000"/>
                <w:sz w:val="24"/>
              </w:rPr>
              <w:t>.</w:t>
            </w:r>
            <w:r>
              <w:rPr>
                <w:rFonts w:hint="eastAsia" w:ascii="宋体" w:hAnsi="宋体"/>
                <w:sz w:val="24"/>
              </w:rPr>
              <w:t>退回申办者/销毁记录应包含名称、型号、规格、产品批号、序列号、数量、退回内容、回收/销毁人员签字等信息（院内销毁需提供销毁委托函）</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sz w:val="24"/>
              </w:rPr>
            </w:pPr>
            <w:r>
              <w:rPr>
                <w:rFonts w:hint="eastAsia"/>
                <w:color w:val="000000"/>
                <w:sz w:val="24"/>
              </w:rPr>
              <w:t>8</w:t>
            </w:r>
            <w:r>
              <w:rPr>
                <w:color w:val="000000"/>
                <w:sz w:val="24"/>
              </w:rPr>
              <w:t>.</w:t>
            </w:r>
            <w:r>
              <w:rPr>
                <w:rFonts w:hint="eastAsia" w:ascii="宋体" w:hAnsi="宋体"/>
                <w:sz w:val="24"/>
              </w:rPr>
              <w:t>接收、发放、使用、回收记录，数量应当与申办者提供的数量吻合</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sz w:val="24"/>
              </w:rPr>
            </w:pPr>
            <w:r>
              <w:rPr>
                <w:rFonts w:hint="eastAsia"/>
                <w:color w:val="000000"/>
                <w:sz w:val="24"/>
              </w:rPr>
              <w:t>9</w:t>
            </w:r>
            <w:r>
              <w:rPr>
                <w:color w:val="000000"/>
                <w:sz w:val="24"/>
              </w:rPr>
              <w:t>.</w:t>
            </w:r>
            <w:r>
              <w:rPr>
                <w:rFonts w:hint="eastAsia" w:ascii="宋体" w:hAnsi="宋体"/>
                <w:sz w:val="24"/>
              </w:rPr>
              <w:t>实地检查有特殊场地保存要求的大型医疗器械（如大型放疗设备），保存条件和使用情况应当与与方案要求一致</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sz w:val="24"/>
              </w:rPr>
            </w:pPr>
            <w:r>
              <w:rPr>
                <w:rFonts w:hint="eastAsia"/>
                <w:color w:val="000000"/>
                <w:sz w:val="24"/>
              </w:rPr>
              <w:t>10</w:t>
            </w:r>
            <w:r>
              <w:rPr>
                <w:color w:val="000000"/>
                <w:sz w:val="24"/>
              </w:rPr>
              <w:t>.</w:t>
            </w:r>
            <w:r>
              <w:rPr>
                <w:rFonts w:hint="eastAsia" w:ascii="宋体" w:hAnsi="宋体"/>
                <w:sz w:val="24"/>
              </w:rPr>
              <w:t>试验用医疗器械应具有定期维护记录（重复使用的器械，如分析、检测设备</w:t>
            </w:r>
          </w:p>
        </w:tc>
        <w:tc>
          <w:tcPr>
            <w:tcW w:w="1843" w:type="dxa"/>
            <w:vAlign w:val="center"/>
          </w:tcPr>
          <w:p>
            <w:pPr>
              <w:jc w:val="left"/>
              <w:rPr>
                <w:rFonts w:ascii="宋体" w:hAnsi="宋体"/>
                <w:sz w:val="24"/>
              </w:rPr>
            </w:pPr>
            <w:r>
              <w:rPr>
                <w:rFonts w:hint="eastAsia" w:ascii="宋体" w:hAnsi="宋体"/>
                <w:sz w:val="24"/>
              </w:rPr>
              <w:sym w:font="Wingdings 2" w:char="00A3"/>
            </w: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11.</w:t>
            </w:r>
            <w:r>
              <w:rPr>
                <w:rFonts w:hint="eastAsia" w:ascii="宋体" w:hAnsi="宋体"/>
                <w:color w:val="000000"/>
                <w:sz w:val="24"/>
              </w:rPr>
              <w:t>原始</w:t>
            </w:r>
            <w:r>
              <w:rPr>
                <w:rFonts w:hint="eastAsia" w:ascii="宋体" w:hAnsi="宋体"/>
                <w:sz w:val="24"/>
              </w:rPr>
              <w:t>病历、器械使用记录、受试者日记卡（如适用）中记录的试验用医疗器械产品名称、规格型号、使用方法(如日期、时间、状态等)，应当与试验方案和器械说明书一致</w:t>
            </w:r>
          </w:p>
        </w:tc>
        <w:tc>
          <w:tcPr>
            <w:tcW w:w="1843" w:type="dxa"/>
            <w:vAlign w:val="center"/>
          </w:tcPr>
          <w:p>
            <w:pPr>
              <w:jc w:val="left"/>
              <w:rPr>
                <w:rFonts w:ascii="宋体" w:hAnsi="宋体"/>
                <w:sz w:val="24"/>
              </w:rPr>
            </w:pPr>
            <w:r>
              <w:rPr>
                <w:rFonts w:hint="eastAsia" w:ascii="宋体" w:hAnsi="宋体"/>
                <w:sz w:val="24"/>
              </w:rPr>
              <w:sym w:font="Wingdings 2" w:char="00A3"/>
            </w: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12.</w:t>
            </w:r>
            <w:r>
              <w:rPr>
                <w:rFonts w:hint="eastAsia" w:ascii="宋体" w:hAnsi="宋体"/>
                <w:sz w:val="24"/>
              </w:rPr>
              <w:t>所有申办者提供的辅助用药（包括生理盐水、灭菌用水等）均需提供来源证明、检验报告、药品说明书、在</w:t>
            </w:r>
            <w:r>
              <w:rPr>
                <w:rFonts w:hint="eastAsia"/>
                <w:sz w:val="24"/>
              </w:rPr>
              <w:t>GMP</w:t>
            </w:r>
            <w:r>
              <w:rPr>
                <w:rFonts w:hint="eastAsia" w:ascii="宋体" w:hAnsi="宋体"/>
                <w:sz w:val="24"/>
              </w:rPr>
              <w:t>条件下生产等文件，并具有交接、库存、使用、回收与退回申办者的全过程详细记录</w:t>
            </w:r>
          </w:p>
        </w:tc>
        <w:tc>
          <w:tcPr>
            <w:tcW w:w="1843" w:type="dxa"/>
            <w:vAlign w:val="center"/>
          </w:tcPr>
          <w:p>
            <w:pPr>
              <w:jc w:val="left"/>
              <w:rPr>
                <w:rFonts w:ascii="宋体" w:hAnsi="宋体"/>
                <w:sz w:val="24"/>
              </w:rPr>
            </w:pPr>
            <w:r>
              <w:rPr>
                <w:rFonts w:hint="eastAsia" w:ascii="宋体" w:hAnsi="宋体"/>
                <w:sz w:val="24"/>
              </w:rPr>
              <w:sym w:font="Wingdings 2" w:char="00A3"/>
            </w: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ascii="宋体" w:hAnsi="宋体"/>
                <w:b/>
                <w:bCs/>
                <w:color w:val="000000"/>
                <w:sz w:val="28"/>
                <w:szCs w:val="28"/>
              </w:rPr>
              <w:t>七、生物样本的管理（如适用）</w:t>
            </w:r>
          </w:p>
        </w:tc>
        <w:tc>
          <w:tcPr>
            <w:tcW w:w="1843"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jc w:val="left"/>
              <w:rPr>
                <w:b/>
                <w:bCs/>
                <w:sz w:val="28"/>
                <w:szCs w:val="28"/>
              </w:rPr>
            </w:pPr>
            <w:r>
              <w:rPr>
                <w:rFonts w:hint="eastAsia"/>
                <w:sz w:val="24"/>
              </w:rPr>
              <w:t>1.</w:t>
            </w:r>
            <w:r>
              <w:rPr>
                <w:rFonts w:hint="eastAsia" w:ascii="宋体" w:hAnsi="宋体"/>
                <w:sz w:val="24"/>
              </w:rPr>
              <w:t>生物样品采集、处理、贮存、转运、寄送等各环节的管理应当遵守药物临床试验方案和实验室手册等</w:t>
            </w:r>
            <w:r>
              <w:rPr>
                <w:rFonts w:hint="eastAsia"/>
                <w:sz w:val="24"/>
              </w:rPr>
              <w:t>SOP</w:t>
            </w:r>
            <w:r>
              <w:rPr>
                <w:rFonts w:hint="eastAsia" w:ascii="宋体" w:hAnsi="宋体"/>
                <w:sz w:val="24"/>
              </w:rPr>
              <w:t>规定并保存记录。核实各环节时间、数量、操作人等信息的相符性</w:t>
            </w:r>
            <w:r>
              <w:rPr>
                <w:rFonts w:ascii="宋体" w:hAnsi="宋体"/>
                <w:b/>
                <w:bCs/>
                <w:sz w:val="28"/>
                <w:szCs w:val="28"/>
              </w:rPr>
              <w:t xml:space="preserve"> </w:t>
            </w:r>
          </w:p>
        </w:tc>
        <w:tc>
          <w:tcPr>
            <w:tcW w:w="1843" w:type="dxa"/>
            <w:vAlign w:val="center"/>
          </w:tcPr>
          <w:p>
            <w:pPr>
              <w:jc w:val="left"/>
              <w:rPr>
                <w:b/>
                <w:bCs/>
                <w:sz w:val="28"/>
                <w:szCs w:val="28"/>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jc w:val="left"/>
              <w:rPr>
                <w:b/>
                <w:bCs/>
                <w:sz w:val="28"/>
                <w:szCs w:val="28"/>
              </w:rPr>
            </w:pPr>
            <w:r>
              <w:rPr>
                <w:rFonts w:hint="eastAsia" w:cs="楷体_GB2312"/>
                <w:sz w:val="24"/>
              </w:rPr>
              <w:t>2.</w:t>
            </w:r>
            <w:r>
              <w:rPr>
                <w:rFonts w:hint="eastAsia" w:ascii="宋体" w:hAnsi="宋体" w:cs="楷体_GB2312"/>
                <w:sz w:val="24"/>
              </w:rPr>
              <w:t>样本容器的标识应当易于识别和具有唯一性，且不泄露受试者隐私</w:t>
            </w:r>
          </w:p>
        </w:tc>
        <w:tc>
          <w:tcPr>
            <w:tcW w:w="1843" w:type="dxa"/>
            <w:vAlign w:val="center"/>
          </w:tcPr>
          <w:p>
            <w:pPr>
              <w:jc w:val="left"/>
              <w:rPr>
                <w:b/>
                <w:bCs/>
                <w:sz w:val="28"/>
                <w:szCs w:val="28"/>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jc w:val="left"/>
              <w:rPr>
                <w:b/>
                <w:bCs/>
                <w:sz w:val="28"/>
                <w:szCs w:val="28"/>
              </w:rPr>
            </w:pPr>
            <w:r>
              <w:rPr>
                <w:rFonts w:hint="eastAsia"/>
                <w:color w:val="000000"/>
                <w:sz w:val="24"/>
              </w:rPr>
              <w:t>3.</w:t>
            </w:r>
            <w:r>
              <w:rPr>
                <w:rFonts w:hint="eastAsia" w:ascii="宋体" w:hAnsi="宋体"/>
                <w:color w:val="000000"/>
                <w:sz w:val="24"/>
              </w:rPr>
              <w:t>生物样品管理各环节的异常情况应当及时评估处理、记录，若有必要，应及时向</w:t>
            </w:r>
            <w:r>
              <w:rPr>
                <w:rFonts w:hint="eastAsia"/>
                <w:color w:val="000000"/>
                <w:sz w:val="24"/>
                <w:lang w:val="en-US" w:eastAsia="zh-CN"/>
              </w:rPr>
              <w:t>GCP中心</w:t>
            </w:r>
            <w:bookmarkStart w:id="1" w:name="_GoBack"/>
            <w:bookmarkEnd w:id="1"/>
            <w:r>
              <w:rPr>
                <w:rFonts w:hint="eastAsia" w:ascii="宋体" w:hAnsi="宋体"/>
                <w:color w:val="000000"/>
                <w:sz w:val="24"/>
              </w:rPr>
              <w:t>和伦理委员会报告</w:t>
            </w:r>
            <w:r>
              <w:rPr>
                <w:rFonts w:hint="eastAsia"/>
                <w:color w:val="000000"/>
                <w:sz w:val="24"/>
              </w:rPr>
              <w:t>PD</w:t>
            </w:r>
          </w:p>
        </w:tc>
        <w:tc>
          <w:tcPr>
            <w:tcW w:w="1843" w:type="dxa"/>
            <w:vAlign w:val="center"/>
          </w:tcPr>
          <w:p>
            <w:pPr>
              <w:jc w:val="left"/>
              <w:rPr>
                <w:b/>
                <w:bCs/>
                <w:sz w:val="28"/>
                <w:szCs w:val="28"/>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jc w:val="left"/>
              <w:rPr>
                <w:b/>
                <w:bCs/>
                <w:sz w:val="28"/>
                <w:szCs w:val="28"/>
              </w:rPr>
            </w:pPr>
            <w:r>
              <w:rPr>
                <w:rFonts w:hint="eastAsia"/>
                <w:color w:val="000000"/>
                <w:sz w:val="24"/>
              </w:rPr>
              <w:t>4</w:t>
            </w:r>
            <w:r>
              <w:rPr>
                <w:rFonts w:hint="eastAsia" w:ascii="宋体" w:hAnsi="宋体"/>
                <w:color w:val="000000"/>
                <w:sz w:val="24"/>
              </w:rPr>
              <w:t>，生物样本采集/运送总量不应超过遗传办批准总量，采集/运送样本种类均应与遗传办批准的一致</w:t>
            </w:r>
          </w:p>
        </w:tc>
        <w:tc>
          <w:tcPr>
            <w:tcW w:w="1843" w:type="dxa"/>
            <w:vAlign w:val="center"/>
          </w:tcPr>
          <w:p>
            <w:pPr>
              <w:jc w:val="left"/>
              <w:rPr>
                <w:b/>
                <w:bCs/>
                <w:sz w:val="28"/>
                <w:szCs w:val="28"/>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09" w:type="dxa"/>
            <w:gridSpan w:val="2"/>
            <w:vAlign w:val="center"/>
          </w:tcPr>
          <w:p>
            <w:pPr>
              <w:jc w:val="left"/>
              <w:rPr>
                <w:rFonts w:ascii="宋体" w:hAnsi="宋体"/>
                <w:sz w:val="24"/>
              </w:rPr>
            </w:pPr>
            <w:r>
              <w:rPr>
                <w:rFonts w:hint="eastAsia"/>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09" w:type="dxa"/>
            <w:gridSpan w:val="2"/>
            <w:vAlign w:val="center"/>
          </w:tcPr>
          <w:p>
            <w:pPr>
              <w:rPr>
                <w:rFonts w:ascii="宋体" w:hAnsi="宋体"/>
                <w:sz w:val="24"/>
              </w:rPr>
            </w:pPr>
            <w:r>
              <w:rPr>
                <w:rFonts w:hint="eastAsia" w:ascii="宋体" w:hAnsi="宋体"/>
                <w:sz w:val="24"/>
              </w:rPr>
              <w:t>（</w:t>
            </w:r>
            <w:r>
              <w:rPr>
                <w:rFonts w:hint="eastAsia"/>
                <w:sz w:val="24"/>
              </w:rPr>
              <w:t>1</w:t>
            </w:r>
            <w:r>
              <w:rPr>
                <w:rFonts w:hint="eastAsia" w:ascii="宋体" w:hAnsi="宋体"/>
                <w:sz w:val="24"/>
              </w:rPr>
              <w:t>）源数据：指临床试验中的原始记录或者核证副本上记载的所有信息，包括临床发现、观测结果、以及用于重建和评价临床试验所需要的其他相关活动记录；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09" w:type="dxa"/>
            <w:gridSpan w:val="2"/>
            <w:vAlign w:val="center"/>
          </w:tcPr>
          <w:p>
            <w:pPr>
              <w:rPr>
                <w:rFonts w:ascii="宋体" w:hAnsi="宋体"/>
                <w:sz w:val="24"/>
              </w:rPr>
            </w:pPr>
            <w:r>
              <w:rPr>
                <w:rFonts w:hint="eastAsia" w:ascii="宋体" w:hAnsi="宋体"/>
                <w:sz w:val="24"/>
              </w:rPr>
              <w:t>（</w:t>
            </w:r>
            <w:r>
              <w:rPr>
                <w:rFonts w:hint="eastAsia"/>
                <w:sz w:val="24"/>
              </w:rPr>
              <w:t>2</w:t>
            </w:r>
            <w:r>
              <w:rPr>
                <w:rFonts w:hint="eastAsia" w:ascii="宋体" w:hAnsi="宋体"/>
                <w:sz w:val="24"/>
              </w:rPr>
              <w:t>）外部数据：外部收集并将导入至临床试验数据管理系统（</w:t>
            </w:r>
            <w:r>
              <w:rPr>
                <w:sz w:val="24"/>
              </w:rPr>
              <w:t>CDMS</w:t>
            </w:r>
            <w:r>
              <w:rPr>
                <w:rFonts w:ascii="宋体" w:hAnsi="宋体"/>
                <w:sz w:val="24"/>
              </w:rPr>
              <w:t>）的数据，包括所有导入的数据及其文件和用于外部数据质量控制的所有文件。外部数据包括但不限于：生物样本分析数据（实验室数据、药代动力学/药效</w:t>
            </w:r>
            <w:r>
              <w:rPr>
                <w:rFonts w:hint="eastAsia" w:ascii="宋体" w:hAnsi="宋体"/>
                <w:sz w:val="24"/>
              </w:rPr>
              <w:t>学数据、生物标记物的检测数据等）、外部仪器检测数据（血生化、心电图、血流仪、生命体征监测、影像学检查等）、电子日志、交互应答系统的数据、</w:t>
            </w:r>
            <w:r>
              <w:rPr>
                <w:rFonts w:hint="eastAsia"/>
                <w:sz w:val="24"/>
              </w:rPr>
              <w:t>IRC</w:t>
            </w:r>
            <w:r>
              <w:rPr>
                <w:rFonts w:hint="eastAsia" w:ascii="宋体" w:hAnsi="宋体"/>
                <w:sz w:val="24"/>
              </w:rPr>
              <w:t>独立影像学评估数据等；</w:t>
            </w:r>
          </w:p>
        </w:tc>
      </w:tr>
    </w:tbl>
    <w:p>
      <w:pPr>
        <w:spacing w:line="20" w:lineRule="exact"/>
      </w:pPr>
    </w:p>
    <w:sectPr>
      <w:headerReference r:id="rId3" w:type="default"/>
      <w:footerReference r:id="rId4" w:type="default"/>
      <w:pgSz w:w="11906" w:h="16838"/>
      <w:pgMar w:top="1418" w:right="1418" w:bottom="1418" w:left="1418" w:header="992"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 xml:space="preserve">                                   </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r>
      <w:rPr>
        <w:b/>
        <w:bCs/>
        <w:sz w:val="24"/>
        <w:szCs w:val="24"/>
      </w:rPr>
      <w:t xml:space="preserve">                  </w:t>
    </w:r>
    <w:r>
      <w:rPr>
        <w:b/>
        <w:bCs/>
      </w:rPr>
      <w:t xml:space="preserve">                  </w:t>
    </w:r>
    <w:r>
      <w:rPr>
        <w:rFonts w:hint="eastAsia"/>
        <w:b/>
        <w:bCs/>
      </w:rPr>
      <w:t>2023.03.03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b/>
      </w:rPr>
      <w:t>成都上锦南府医院/四川大学华西医院上锦医院国家药物/医疗器械临床试验机构</w:t>
    </w:r>
    <w:r>
      <w:rPr>
        <w:b/>
      </w:rPr>
      <w:t xml:space="preserve"> </w:t>
    </w:r>
    <w:r>
      <w:rPr>
        <w:rFonts w:hint="eastAsia"/>
        <w:b/>
      </w:rPr>
      <w:t xml:space="preserve">       </w:t>
    </w:r>
    <w:r>
      <w:rPr>
        <w:b/>
      </w:rPr>
      <w:t xml:space="preserve">  </w:t>
    </w:r>
    <w:r>
      <w:rPr>
        <w:rFonts w:hint="eastAsia"/>
        <w:b/>
      </w:rPr>
      <w:t>SJH</w:t>
    </w:r>
    <w:r>
      <w:rPr>
        <w:b/>
      </w:rPr>
      <w:t>-GCP-REC-</w:t>
    </w:r>
    <w:r>
      <w:rPr>
        <w:rFonts w:hint="eastAsia"/>
        <w:b/>
      </w:rPr>
      <w:t>36</w:t>
    </w:r>
    <w:r>
      <w:rPr>
        <w:b/>
      </w:rPr>
      <w:t>-V</w:t>
    </w:r>
    <w:r>
      <w:rPr>
        <w:rFonts w:hint="eastAsia"/>
        <w:b/>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MDM0NzZjZmEwODI0MTU3ZTIyOTI5N2NmNDdlYTcifQ=="/>
  </w:docVars>
  <w:rsids>
    <w:rsidRoot w:val="00612105"/>
    <w:rsid w:val="000008A5"/>
    <w:rsid w:val="00012070"/>
    <w:rsid w:val="000527B6"/>
    <w:rsid w:val="0006678A"/>
    <w:rsid w:val="000A143A"/>
    <w:rsid w:val="000D01A1"/>
    <w:rsid w:val="000D2735"/>
    <w:rsid w:val="000D7F13"/>
    <w:rsid w:val="000E44A7"/>
    <w:rsid w:val="000F118D"/>
    <w:rsid w:val="00117579"/>
    <w:rsid w:val="001318AE"/>
    <w:rsid w:val="00140711"/>
    <w:rsid w:val="001412BA"/>
    <w:rsid w:val="0017170C"/>
    <w:rsid w:val="001B2CE7"/>
    <w:rsid w:val="001C314A"/>
    <w:rsid w:val="001D01DD"/>
    <w:rsid w:val="001D36C2"/>
    <w:rsid w:val="00211C96"/>
    <w:rsid w:val="0022588E"/>
    <w:rsid w:val="00230BEC"/>
    <w:rsid w:val="00232BEC"/>
    <w:rsid w:val="00240C6A"/>
    <w:rsid w:val="0024264C"/>
    <w:rsid w:val="00245A72"/>
    <w:rsid w:val="00253B16"/>
    <w:rsid w:val="00257F82"/>
    <w:rsid w:val="00261975"/>
    <w:rsid w:val="002656AE"/>
    <w:rsid w:val="002D0F94"/>
    <w:rsid w:val="002D3C14"/>
    <w:rsid w:val="00301A5A"/>
    <w:rsid w:val="003064CA"/>
    <w:rsid w:val="0031556E"/>
    <w:rsid w:val="00332F52"/>
    <w:rsid w:val="00336660"/>
    <w:rsid w:val="00355AA1"/>
    <w:rsid w:val="00360D82"/>
    <w:rsid w:val="00365A9D"/>
    <w:rsid w:val="003664BD"/>
    <w:rsid w:val="00373F5A"/>
    <w:rsid w:val="003743EF"/>
    <w:rsid w:val="003C013C"/>
    <w:rsid w:val="003C705D"/>
    <w:rsid w:val="0041335A"/>
    <w:rsid w:val="00432B8A"/>
    <w:rsid w:val="00451E14"/>
    <w:rsid w:val="00461416"/>
    <w:rsid w:val="0047381B"/>
    <w:rsid w:val="004B6C2E"/>
    <w:rsid w:val="004F1820"/>
    <w:rsid w:val="004F7912"/>
    <w:rsid w:val="00515351"/>
    <w:rsid w:val="00520A55"/>
    <w:rsid w:val="005714D9"/>
    <w:rsid w:val="0057352D"/>
    <w:rsid w:val="00596C3B"/>
    <w:rsid w:val="005C3514"/>
    <w:rsid w:val="00602E98"/>
    <w:rsid w:val="00612105"/>
    <w:rsid w:val="006437D9"/>
    <w:rsid w:val="006D3218"/>
    <w:rsid w:val="00717620"/>
    <w:rsid w:val="007351CE"/>
    <w:rsid w:val="0077544A"/>
    <w:rsid w:val="00781618"/>
    <w:rsid w:val="007836E2"/>
    <w:rsid w:val="0078687C"/>
    <w:rsid w:val="00794B56"/>
    <w:rsid w:val="007C2054"/>
    <w:rsid w:val="007C76CF"/>
    <w:rsid w:val="007E6A7B"/>
    <w:rsid w:val="00807FA9"/>
    <w:rsid w:val="00810C4C"/>
    <w:rsid w:val="008243E1"/>
    <w:rsid w:val="008556A1"/>
    <w:rsid w:val="00895665"/>
    <w:rsid w:val="008D010D"/>
    <w:rsid w:val="008E077C"/>
    <w:rsid w:val="008E5A64"/>
    <w:rsid w:val="00906515"/>
    <w:rsid w:val="00931F07"/>
    <w:rsid w:val="00937A53"/>
    <w:rsid w:val="00944097"/>
    <w:rsid w:val="009444C0"/>
    <w:rsid w:val="009478EF"/>
    <w:rsid w:val="00955146"/>
    <w:rsid w:val="009640DA"/>
    <w:rsid w:val="009750C0"/>
    <w:rsid w:val="009A33FA"/>
    <w:rsid w:val="009B4747"/>
    <w:rsid w:val="009F22B3"/>
    <w:rsid w:val="009F3D75"/>
    <w:rsid w:val="00A23781"/>
    <w:rsid w:val="00A31112"/>
    <w:rsid w:val="00A41480"/>
    <w:rsid w:val="00A61061"/>
    <w:rsid w:val="00A744C5"/>
    <w:rsid w:val="00A96A5D"/>
    <w:rsid w:val="00AA0AF5"/>
    <w:rsid w:val="00AA57F2"/>
    <w:rsid w:val="00AB3565"/>
    <w:rsid w:val="00AB779D"/>
    <w:rsid w:val="00AC6579"/>
    <w:rsid w:val="00AE673D"/>
    <w:rsid w:val="00B24A1A"/>
    <w:rsid w:val="00B265A5"/>
    <w:rsid w:val="00B457C3"/>
    <w:rsid w:val="00B521B2"/>
    <w:rsid w:val="00B64E7E"/>
    <w:rsid w:val="00BC2033"/>
    <w:rsid w:val="00BC40B6"/>
    <w:rsid w:val="00BC5024"/>
    <w:rsid w:val="00BC6C6D"/>
    <w:rsid w:val="00BD2606"/>
    <w:rsid w:val="00BD4516"/>
    <w:rsid w:val="00C135A7"/>
    <w:rsid w:val="00C136A8"/>
    <w:rsid w:val="00C221C8"/>
    <w:rsid w:val="00C2268C"/>
    <w:rsid w:val="00C253A8"/>
    <w:rsid w:val="00C2585F"/>
    <w:rsid w:val="00C442C6"/>
    <w:rsid w:val="00CE697A"/>
    <w:rsid w:val="00D00DF7"/>
    <w:rsid w:val="00D0423E"/>
    <w:rsid w:val="00D7367F"/>
    <w:rsid w:val="00D86B8A"/>
    <w:rsid w:val="00D96515"/>
    <w:rsid w:val="00DA6465"/>
    <w:rsid w:val="00DE0870"/>
    <w:rsid w:val="00DF1FCB"/>
    <w:rsid w:val="00E52433"/>
    <w:rsid w:val="00E53B94"/>
    <w:rsid w:val="00E55DA9"/>
    <w:rsid w:val="00E85B7E"/>
    <w:rsid w:val="00E96E94"/>
    <w:rsid w:val="00E97BD2"/>
    <w:rsid w:val="00EA2C62"/>
    <w:rsid w:val="00EB2477"/>
    <w:rsid w:val="00EB68EE"/>
    <w:rsid w:val="00EC0F0E"/>
    <w:rsid w:val="00EC286D"/>
    <w:rsid w:val="00EC309C"/>
    <w:rsid w:val="00EC4B2E"/>
    <w:rsid w:val="00ED4EC5"/>
    <w:rsid w:val="00F00394"/>
    <w:rsid w:val="00F041B4"/>
    <w:rsid w:val="00F04F4B"/>
    <w:rsid w:val="00F230D1"/>
    <w:rsid w:val="00F3315F"/>
    <w:rsid w:val="00F91F82"/>
    <w:rsid w:val="00F950CA"/>
    <w:rsid w:val="00F96619"/>
    <w:rsid w:val="00F96ED9"/>
    <w:rsid w:val="00FA208D"/>
    <w:rsid w:val="00FB48E3"/>
    <w:rsid w:val="00FC2BCA"/>
    <w:rsid w:val="00FE4180"/>
    <w:rsid w:val="02A92768"/>
    <w:rsid w:val="04376E99"/>
    <w:rsid w:val="04F15122"/>
    <w:rsid w:val="056703FD"/>
    <w:rsid w:val="096B78B1"/>
    <w:rsid w:val="0C9B273A"/>
    <w:rsid w:val="0CCE250A"/>
    <w:rsid w:val="0FA351CB"/>
    <w:rsid w:val="12D24478"/>
    <w:rsid w:val="162D0185"/>
    <w:rsid w:val="169208C0"/>
    <w:rsid w:val="17ED46B8"/>
    <w:rsid w:val="19040F32"/>
    <w:rsid w:val="1A2522C6"/>
    <w:rsid w:val="1A2E5F5F"/>
    <w:rsid w:val="1A465B48"/>
    <w:rsid w:val="1A5D77AB"/>
    <w:rsid w:val="1F345FF6"/>
    <w:rsid w:val="22253663"/>
    <w:rsid w:val="23C3461F"/>
    <w:rsid w:val="246A6077"/>
    <w:rsid w:val="248875F1"/>
    <w:rsid w:val="28D01836"/>
    <w:rsid w:val="2A0140E6"/>
    <w:rsid w:val="2A5C2CCF"/>
    <w:rsid w:val="2AAA0A60"/>
    <w:rsid w:val="2E0559E6"/>
    <w:rsid w:val="315204C9"/>
    <w:rsid w:val="34963664"/>
    <w:rsid w:val="36DB3EF8"/>
    <w:rsid w:val="3BC211E2"/>
    <w:rsid w:val="3C314463"/>
    <w:rsid w:val="400D7C69"/>
    <w:rsid w:val="40432CD4"/>
    <w:rsid w:val="40F832C9"/>
    <w:rsid w:val="41CC73C0"/>
    <w:rsid w:val="42DA28F2"/>
    <w:rsid w:val="43CF3B71"/>
    <w:rsid w:val="44D520E5"/>
    <w:rsid w:val="48652AD1"/>
    <w:rsid w:val="48C84CDC"/>
    <w:rsid w:val="495C7EA9"/>
    <w:rsid w:val="4B2E52D8"/>
    <w:rsid w:val="4B372142"/>
    <w:rsid w:val="4B4A7225"/>
    <w:rsid w:val="4E862C9C"/>
    <w:rsid w:val="4FDE2637"/>
    <w:rsid w:val="52554706"/>
    <w:rsid w:val="52E511BE"/>
    <w:rsid w:val="55170501"/>
    <w:rsid w:val="574653C8"/>
    <w:rsid w:val="59A64031"/>
    <w:rsid w:val="5DAD53AC"/>
    <w:rsid w:val="5ED74D70"/>
    <w:rsid w:val="5FED099B"/>
    <w:rsid w:val="63520F1A"/>
    <w:rsid w:val="65C24EEC"/>
    <w:rsid w:val="679C4143"/>
    <w:rsid w:val="67BF5061"/>
    <w:rsid w:val="696B2523"/>
    <w:rsid w:val="6A1D4790"/>
    <w:rsid w:val="6D571C98"/>
    <w:rsid w:val="6FF0373D"/>
    <w:rsid w:val="71BA59FE"/>
    <w:rsid w:val="725C4426"/>
    <w:rsid w:val="7A8E0C20"/>
    <w:rsid w:val="7B372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rPr>
      <w:rFonts w:ascii="等线" w:hAnsi="等线" w:eastAsia="等线"/>
      <w:szCs w:val="22"/>
    </w:rPr>
  </w:style>
  <w:style w:type="character" w:customStyle="1" w:styleId="11">
    <w:name w:val="页眉 Char"/>
    <w:basedOn w:val="8"/>
    <w:link w:val="5"/>
    <w:uiPriority w:val="99"/>
    <w:rPr>
      <w:rFonts w:ascii="Times New Roman" w:hAnsi="Times New Roman" w:eastAsia="宋体" w:cs="Times New Roman"/>
      <w:sz w:val="18"/>
      <w:szCs w:val="18"/>
    </w:rPr>
  </w:style>
  <w:style w:type="character" w:customStyle="1" w:styleId="12">
    <w:name w:val="页脚 Char"/>
    <w:basedOn w:val="8"/>
    <w:link w:val="4"/>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character" w:customStyle="1" w:styleId="14">
    <w:name w:val="批注文字 Char"/>
    <w:basedOn w:val="8"/>
    <w:link w:val="2"/>
    <w:semiHidden/>
    <w:qFormat/>
    <w:uiPriority w:val="99"/>
    <w:rPr>
      <w:rFonts w:ascii="Times New Roman" w:hAnsi="Times New Roman" w:eastAsia="宋体" w:cs="Times New Roman"/>
      <w:kern w:val="2"/>
      <w:sz w:val="21"/>
      <w:szCs w:val="24"/>
    </w:rPr>
  </w:style>
  <w:style w:type="character" w:customStyle="1" w:styleId="15">
    <w:name w:val="批注主题 Char"/>
    <w:basedOn w:val="14"/>
    <w:link w:val="6"/>
    <w:semiHidden/>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96BB5-80B0-404C-9A69-830007A03D03}">
  <ds:schemaRefs/>
</ds:datastoreItem>
</file>

<file path=docProps/app.xml><?xml version="1.0" encoding="utf-8"?>
<Properties xmlns="http://schemas.openxmlformats.org/officeDocument/2006/extended-properties" xmlns:vt="http://schemas.openxmlformats.org/officeDocument/2006/docPropsVTypes">
  <Template>Normal.dotm</Template>
  <Pages>5</Pages>
  <Words>654</Words>
  <Characters>3729</Characters>
  <Lines>31</Lines>
  <Paragraphs>8</Paragraphs>
  <TotalTime>6</TotalTime>
  <ScaleCrop>false</ScaleCrop>
  <LinksUpToDate>false</LinksUpToDate>
  <CharactersWithSpaces>4375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2023-02-06T11:18:00Z</dcterms:created>
  <dc:creator>Huan Chen</dc:creator>
  <cp:lastModifiedBy>默言</cp:lastModifiedBy>
  <cp:lastPrinted>2023-07-13T05:45:00Z</cp:lastPrinted>
  <dcterms:modified xsi:type="dcterms:W3CDTF">2023-10-11T07:22:13Z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58047CA0FE3E4840B82CB262E5EBEA64</vt:lpwstr>
  </property>
</Properties>
</file>